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87E9" w14:textId="7F10DA82" w:rsidR="00F50DAA" w:rsidRPr="00AC2EF5" w:rsidRDefault="00030168" w:rsidP="00B836AD">
      <w:pPr>
        <w:spacing w:after="120"/>
        <w:jc w:val="center"/>
        <w:rPr>
          <w:b/>
          <w:i/>
          <w:sz w:val="20"/>
          <w:szCs w:val="20"/>
        </w:rPr>
      </w:pPr>
      <w:r w:rsidRPr="00B836AD">
        <w:rPr>
          <w:b/>
          <w:sz w:val="32"/>
          <w:szCs w:val="32"/>
        </w:rPr>
        <w:t xml:space="preserve">Příklad souhrnné </w:t>
      </w:r>
      <w:r w:rsidR="00F50DAA" w:rsidRPr="00B836AD">
        <w:rPr>
          <w:b/>
          <w:sz w:val="32"/>
          <w:szCs w:val="32"/>
        </w:rPr>
        <w:t>zprávy auditora</w:t>
      </w:r>
      <w:r w:rsidR="00B836AD">
        <w:rPr>
          <w:b/>
          <w:sz w:val="32"/>
          <w:szCs w:val="32"/>
        </w:rPr>
        <w:br/>
      </w:r>
    </w:p>
    <w:p w14:paraId="5533AC6F" w14:textId="4AF26E72" w:rsidR="000C36F1" w:rsidRDefault="00C77145" w:rsidP="00F50DAA">
      <w:pPr>
        <w:rPr>
          <w:i/>
          <w:sz w:val="20"/>
          <w:szCs w:val="20"/>
          <w:u w:val="single"/>
        </w:rPr>
      </w:pPr>
      <w:r w:rsidRPr="00AC2EF5">
        <w:rPr>
          <w:i/>
          <w:sz w:val="20"/>
          <w:szCs w:val="20"/>
          <w:u w:val="single"/>
        </w:rPr>
        <w:t>Poznámka k</w:t>
      </w:r>
      <w:r w:rsidR="00EE2330">
        <w:rPr>
          <w:i/>
          <w:sz w:val="20"/>
          <w:szCs w:val="20"/>
          <w:u w:val="single"/>
        </w:rPr>
        <w:t xml:space="preserve"> provedené </w:t>
      </w:r>
      <w:r w:rsidRPr="00AC2EF5">
        <w:rPr>
          <w:i/>
          <w:sz w:val="20"/>
          <w:szCs w:val="20"/>
          <w:u w:val="single"/>
        </w:rPr>
        <w:t>aktualizaci</w:t>
      </w:r>
      <w:r w:rsidR="000C36F1" w:rsidRPr="00AC2EF5">
        <w:rPr>
          <w:i/>
          <w:sz w:val="20"/>
          <w:szCs w:val="20"/>
          <w:u w:val="single"/>
        </w:rPr>
        <w:t xml:space="preserve"> tohoto dokumentu:</w:t>
      </w:r>
    </w:p>
    <w:p w14:paraId="69195121" w14:textId="34FCA17F" w:rsidR="00EE3DCD" w:rsidRDefault="00EE3DCD" w:rsidP="00F50DAA">
      <w:pPr>
        <w:rPr>
          <w:i/>
          <w:sz w:val="20"/>
          <w:szCs w:val="20"/>
          <w:u w:val="single"/>
        </w:rPr>
      </w:pPr>
    </w:p>
    <w:p w14:paraId="5ACC4952" w14:textId="3CD0ACD7" w:rsidR="00EE3DCD" w:rsidRDefault="00BE5CD1" w:rsidP="00EE2330">
      <w:pPr>
        <w:jc w:val="both"/>
        <w:rPr>
          <w:i/>
          <w:sz w:val="20"/>
          <w:szCs w:val="20"/>
          <w:u w:val="single"/>
        </w:rPr>
      </w:pPr>
      <w:r w:rsidRPr="00EE2330">
        <w:rPr>
          <w:b/>
          <w:bCs/>
          <w:i/>
          <w:sz w:val="20"/>
          <w:szCs w:val="20"/>
        </w:rPr>
        <w:t>prosinec</w:t>
      </w:r>
      <w:r w:rsidR="00EE3DCD" w:rsidRPr="00EE2330">
        <w:rPr>
          <w:b/>
          <w:bCs/>
          <w:i/>
          <w:sz w:val="20"/>
          <w:szCs w:val="20"/>
        </w:rPr>
        <w:t xml:space="preserve"> 2025</w:t>
      </w:r>
      <w:r w:rsidR="00EE3DCD" w:rsidRPr="00EE2330">
        <w:rPr>
          <w:i/>
          <w:sz w:val="20"/>
          <w:szCs w:val="20"/>
        </w:rPr>
        <w:t xml:space="preserve"> </w:t>
      </w:r>
      <w:r w:rsidR="00EE2330">
        <w:rPr>
          <w:i/>
          <w:sz w:val="20"/>
          <w:szCs w:val="20"/>
        </w:rPr>
        <w:t xml:space="preserve">- </w:t>
      </w:r>
      <w:r w:rsidR="00EE3DCD" w:rsidRPr="00EE2330">
        <w:rPr>
          <w:rFonts w:cs="Calibri"/>
          <w:i/>
          <w:iCs/>
          <w:sz w:val="20"/>
          <w:szCs w:val="20"/>
        </w:rPr>
        <w:t>upravena textace odstavce Základ pro výrok</w:t>
      </w:r>
      <w:r w:rsidR="00337602" w:rsidRPr="00EE2330">
        <w:rPr>
          <w:rFonts w:cs="Calibri"/>
          <w:i/>
          <w:iCs/>
          <w:sz w:val="20"/>
          <w:szCs w:val="20"/>
        </w:rPr>
        <w:t xml:space="preserve"> (týkající se subjektů veřejného zájmu)</w:t>
      </w:r>
      <w:r w:rsidR="00EE3DCD" w:rsidRPr="00EE2330">
        <w:rPr>
          <w:rFonts w:cs="Calibri"/>
          <w:i/>
          <w:iCs/>
          <w:sz w:val="20"/>
          <w:szCs w:val="20"/>
        </w:rPr>
        <w:t xml:space="preserve"> v návaznosti na úpravy standardů ISA 700</w:t>
      </w:r>
      <w:r w:rsidR="00040CDE" w:rsidRPr="00EE2330">
        <w:rPr>
          <w:rFonts w:cs="Calibri"/>
          <w:i/>
          <w:iCs/>
          <w:sz w:val="20"/>
          <w:szCs w:val="20"/>
        </w:rPr>
        <w:t xml:space="preserve"> (revidované znění)</w:t>
      </w:r>
      <w:r w:rsidR="00EE3DCD" w:rsidRPr="00EE2330">
        <w:rPr>
          <w:rFonts w:cs="Calibri"/>
          <w:i/>
          <w:iCs/>
          <w:sz w:val="20"/>
          <w:szCs w:val="20"/>
        </w:rPr>
        <w:t xml:space="preserve"> a ISA 260</w:t>
      </w:r>
      <w:r w:rsidR="00337602" w:rsidRPr="00EE2330">
        <w:rPr>
          <w:rFonts w:cs="Calibri"/>
          <w:i/>
          <w:iCs/>
          <w:sz w:val="20"/>
          <w:szCs w:val="20"/>
        </w:rPr>
        <w:t xml:space="preserve"> (revidované znění)</w:t>
      </w:r>
      <w:r w:rsidR="00EE2330">
        <w:rPr>
          <w:rFonts w:cs="Calibri"/>
          <w:i/>
          <w:iCs/>
          <w:sz w:val="20"/>
          <w:szCs w:val="20"/>
        </w:rPr>
        <w:t xml:space="preserve"> – </w:t>
      </w:r>
      <w:r w:rsidR="00EE2330" w:rsidRPr="00EE2330">
        <w:rPr>
          <w:rFonts w:cs="Calibri"/>
          <w:i/>
          <w:iCs/>
          <w:sz w:val="20"/>
          <w:szCs w:val="20"/>
          <w:highlight w:val="yellow"/>
        </w:rPr>
        <w:t>vyznačeno žlutě</w:t>
      </w:r>
      <w:r w:rsidR="00EE3DCD" w:rsidRPr="00EE2330">
        <w:rPr>
          <w:rFonts w:cs="Calibri"/>
          <w:i/>
          <w:iCs/>
          <w:sz w:val="20"/>
          <w:szCs w:val="20"/>
          <w:highlight w:val="yellow"/>
        </w:rPr>
        <w:t>.</w:t>
      </w:r>
      <w:r w:rsidR="00EE3DCD" w:rsidRPr="00EE2330">
        <w:rPr>
          <w:rFonts w:cs="Calibri"/>
          <w:i/>
          <w:iCs/>
          <w:sz w:val="20"/>
          <w:szCs w:val="20"/>
        </w:rPr>
        <w:t xml:space="preserve"> </w:t>
      </w:r>
    </w:p>
    <w:p w14:paraId="71068BD5" w14:textId="232F52FB" w:rsidR="00BF2FE6" w:rsidRDefault="00BF2FE6" w:rsidP="00F50DAA">
      <w:pPr>
        <w:rPr>
          <w:i/>
          <w:sz w:val="20"/>
          <w:szCs w:val="20"/>
          <w:u w:val="single"/>
        </w:rPr>
      </w:pPr>
    </w:p>
    <w:p w14:paraId="42FFD017" w14:textId="2193999A" w:rsidR="00E10D43" w:rsidRDefault="005249B3" w:rsidP="00B836AD">
      <w:pPr>
        <w:jc w:val="both"/>
        <w:rPr>
          <w:rFonts w:cs="Calibri"/>
          <w:i/>
          <w:iCs/>
          <w:sz w:val="20"/>
          <w:szCs w:val="20"/>
        </w:rPr>
      </w:pPr>
      <w:r w:rsidRPr="00EE2330">
        <w:rPr>
          <w:rFonts w:cs="Calibri"/>
          <w:b/>
          <w:bCs/>
          <w:i/>
          <w:iCs/>
          <w:sz w:val="20"/>
          <w:szCs w:val="20"/>
        </w:rPr>
        <w:t xml:space="preserve">leden </w:t>
      </w:r>
      <w:r w:rsidR="00EE2330" w:rsidRPr="00EE2330">
        <w:rPr>
          <w:rFonts w:cs="Calibri"/>
          <w:b/>
          <w:bCs/>
          <w:i/>
          <w:iCs/>
          <w:sz w:val="20"/>
          <w:szCs w:val="20"/>
        </w:rPr>
        <w:t>2025</w:t>
      </w:r>
      <w:r w:rsidR="00EE2330">
        <w:rPr>
          <w:rFonts w:cs="Calibri"/>
          <w:b/>
          <w:bCs/>
          <w:i/>
          <w:iCs/>
          <w:sz w:val="20"/>
          <w:szCs w:val="20"/>
        </w:rPr>
        <w:t xml:space="preserve"> - </w:t>
      </w:r>
      <w:r w:rsidR="00EE2330">
        <w:rPr>
          <w:rFonts w:cs="Calibri"/>
          <w:i/>
          <w:iCs/>
          <w:sz w:val="20"/>
          <w:szCs w:val="20"/>
        </w:rPr>
        <w:t>v</w:t>
      </w:r>
      <w:r w:rsidRPr="005249B3">
        <w:rPr>
          <w:rFonts w:cs="Calibri"/>
          <w:i/>
          <w:iCs/>
          <w:sz w:val="20"/>
          <w:szCs w:val="20"/>
        </w:rPr>
        <w:t> souvislosti se změnou zákona o účetnictví bylo doplněno, že součástí povinností auditora týkajících se ostatních informací v případě, kdy účetní jednotka má povinnost vyhotovit a vyhotoví zprávu o udržitelnosti, není posouzení, zda zpráva o udržitelnosti byla vypracována v souladu s příslušnými právními předpisy.</w:t>
      </w:r>
      <w:r w:rsidR="00F95A79">
        <w:rPr>
          <w:rFonts w:cs="Calibri"/>
          <w:i/>
          <w:iCs/>
          <w:sz w:val="20"/>
          <w:szCs w:val="20"/>
        </w:rPr>
        <w:t xml:space="preserve">  </w:t>
      </w:r>
    </w:p>
    <w:p w14:paraId="103B1E82" w14:textId="77777777" w:rsidR="00E10D43" w:rsidRDefault="00E10D43" w:rsidP="00B836AD">
      <w:pPr>
        <w:jc w:val="both"/>
        <w:rPr>
          <w:rFonts w:cs="Calibri"/>
          <w:i/>
          <w:iCs/>
          <w:sz w:val="20"/>
          <w:szCs w:val="20"/>
        </w:rPr>
      </w:pPr>
    </w:p>
    <w:p w14:paraId="7C884703" w14:textId="72F0856A" w:rsidR="00B836AD" w:rsidRPr="00AC2EF5" w:rsidRDefault="00980AB4" w:rsidP="00B836AD">
      <w:pPr>
        <w:jc w:val="both"/>
        <w:rPr>
          <w:rFonts w:cs="Calibri"/>
          <w:i/>
          <w:iCs/>
          <w:sz w:val="20"/>
          <w:szCs w:val="20"/>
        </w:rPr>
      </w:pPr>
      <w:r w:rsidRPr="00EE2330">
        <w:rPr>
          <w:rFonts w:cs="Calibri"/>
          <w:b/>
          <w:bCs/>
          <w:i/>
          <w:iCs/>
          <w:sz w:val="20"/>
          <w:szCs w:val="20"/>
        </w:rPr>
        <w:t>leden 2024</w:t>
      </w:r>
      <w:r w:rsidR="00B836AD" w:rsidRPr="00AC2EF5">
        <w:rPr>
          <w:rFonts w:cs="Calibri"/>
          <w:i/>
          <w:iCs/>
          <w:sz w:val="20"/>
          <w:szCs w:val="20"/>
        </w:rPr>
        <w:t xml:space="preserve"> – upravena textace prvního odstavce zprávy auditora v souladu se změnami v příkladech zprávy auditora uvedených v ISA 700, které byly publikovány v říjnu 2023 v rámci IFAC </w:t>
      </w:r>
      <w:hyperlink r:id="rId8" w:history="1">
        <w:r w:rsidR="00B836AD" w:rsidRPr="00AC2EF5">
          <w:rPr>
            <w:rFonts w:cs="Calibri"/>
            <w:i/>
            <w:iCs/>
            <w:sz w:val="20"/>
            <w:szCs w:val="20"/>
          </w:rPr>
          <w:t xml:space="preserve">Handbook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of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 International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Quality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 Management, Auditing,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Review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,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Other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Assurance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 and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Related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Services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Pronouncements</w:t>
        </w:r>
        <w:proofErr w:type="spellEnd"/>
        <w:r w:rsidR="00B836AD" w:rsidRPr="00AC2EF5">
          <w:rPr>
            <w:rFonts w:cs="Calibri"/>
            <w:i/>
            <w:iCs/>
            <w:sz w:val="20"/>
            <w:szCs w:val="20"/>
          </w:rPr>
          <w:t xml:space="preserve">, 2022 </w:t>
        </w:r>
        <w:proofErr w:type="spellStart"/>
        <w:r w:rsidR="00B836AD" w:rsidRPr="00AC2EF5">
          <w:rPr>
            <w:rFonts w:cs="Calibri"/>
            <w:i/>
            <w:iCs/>
            <w:sz w:val="20"/>
            <w:szCs w:val="20"/>
          </w:rPr>
          <w:t>Edition</w:t>
        </w:r>
        <w:proofErr w:type="spellEnd"/>
      </w:hyperlink>
      <w:r w:rsidR="00B836AD" w:rsidRPr="00AC2EF5">
        <w:rPr>
          <w:rFonts w:cs="Calibri"/>
          <w:i/>
          <w:iCs/>
          <w:sz w:val="20"/>
          <w:szCs w:val="20"/>
        </w:rPr>
        <w:t>.</w:t>
      </w:r>
    </w:p>
    <w:p w14:paraId="047075B8" w14:textId="77777777" w:rsidR="00E10D43" w:rsidRDefault="00E10D43" w:rsidP="00980AB4">
      <w:pPr>
        <w:shd w:val="clear" w:color="auto" w:fill="FFFFFF"/>
        <w:adjustRightInd w:val="0"/>
        <w:jc w:val="both"/>
        <w:rPr>
          <w:rFonts w:cs="Calibri"/>
          <w:i/>
          <w:iCs/>
          <w:color w:val="000000"/>
          <w:sz w:val="20"/>
          <w:szCs w:val="20"/>
        </w:rPr>
      </w:pPr>
    </w:p>
    <w:p w14:paraId="56CBF4E9" w14:textId="0A1EE53A" w:rsidR="00CB141B" w:rsidRPr="00AC2EF5" w:rsidRDefault="00EE2330" w:rsidP="00980AB4">
      <w:pPr>
        <w:shd w:val="clear" w:color="auto" w:fill="FFFFFF"/>
        <w:adjustRightInd w:val="0"/>
        <w:jc w:val="both"/>
        <w:rPr>
          <w:rFonts w:cs="Calibri"/>
          <w:i/>
          <w:iCs/>
          <w:color w:val="000000"/>
          <w:sz w:val="20"/>
          <w:szCs w:val="20"/>
        </w:rPr>
      </w:pPr>
      <w:r>
        <w:rPr>
          <w:rFonts w:cs="Calibri"/>
          <w:b/>
          <w:bCs/>
          <w:i/>
          <w:iCs/>
          <w:color w:val="000000"/>
          <w:sz w:val="20"/>
          <w:szCs w:val="20"/>
        </w:rPr>
        <w:t>červenec</w:t>
      </w:r>
      <w:r w:rsidR="00CB141B" w:rsidRPr="00EE2330">
        <w:rPr>
          <w:rFonts w:cs="Calibri"/>
          <w:b/>
          <w:bCs/>
          <w:i/>
          <w:iCs/>
          <w:color w:val="000000"/>
          <w:sz w:val="20"/>
          <w:szCs w:val="20"/>
        </w:rPr>
        <w:t xml:space="preserve"> 2019</w:t>
      </w:r>
      <w:r w:rsidR="00CB141B" w:rsidRPr="00AC2EF5">
        <w:rPr>
          <w:rFonts w:cs="Calibri"/>
          <w:i/>
          <w:iCs/>
          <w:color w:val="000000"/>
          <w:sz w:val="20"/>
          <w:szCs w:val="20"/>
        </w:rPr>
        <w:t xml:space="preserve"> – upraven text a odkaz u informace o osobách zodpovědných za dohled nad procesem účetního výkaznictví v případech, kdy je ve společnosti ustaven výbor pro audit. </w:t>
      </w:r>
    </w:p>
    <w:p w14:paraId="4069AADC" w14:textId="77777777" w:rsidR="00E10D43" w:rsidRDefault="00E10D43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20"/>
          <w:szCs w:val="20"/>
        </w:rPr>
      </w:pPr>
    </w:p>
    <w:p w14:paraId="5FB4F19C" w14:textId="1E2CF71C" w:rsidR="00B24008" w:rsidRPr="00AC2EF5" w:rsidRDefault="00EE2330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20"/>
          <w:szCs w:val="20"/>
        </w:rPr>
      </w:pPr>
      <w:r w:rsidRPr="00EE2330">
        <w:rPr>
          <w:rFonts w:cs="Calibri"/>
          <w:b/>
          <w:bCs/>
          <w:i/>
          <w:iCs/>
          <w:color w:val="000000"/>
          <w:sz w:val="20"/>
          <w:szCs w:val="20"/>
        </w:rPr>
        <w:t>listopad</w:t>
      </w:r>
      <w:r w:rsidR="00B24008" w:rsidRPr="00EE2330">
        <w:rPr>
          <w:rFonts w:cs="Calibri"/>
          <w:b/>
          <w:bCs/>
          <w:i/>
          <w:iCs/>
          <w:color w:val="000000"/>
          <w:sz w:val="20"/>
          <w:szCs w:val="20"/>
        </w:rPr>
        <w:t xml:space="preserve"> 2018</w:t>
      </w:r>
      <w:r w:rsidR="00B24008" w:rsidRPr="00AC2EF5">
        <w:rPr>
          <w:rFonts w:cs="Calibri"/>
          <w:i/>
          <w:iCs/>
          <w:color w:val="000000"/>
          <w:sz w:val="20"/>
          <w:szCs w:val="20"/>
        </w:rPr>
        <w:t xml:space="preserve"> - schváleno Sněmem (bez aktualizace oproti předchozí verzi)</w:t>
      </w:r>
    </w:p>
    <w:p w14:paraId="313C894F" w14:textId="77777777" w:rsidR="00E10D43" w:rsidRDefault="00E10D43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20"/>
          <w:szCs w:val="20"/>
        </w:rPr>
      </w:pPr>
    </w:p>
    <w:p w14:paraId="128433DF" w14:textId="16358BE5" w:rsidR="000C36F1" w:rsidRPr="00AC2EF5" w:rsidRDefault="00EE2330" w:rsidP="00CB141B">
      <w:pPr>
        <w:shd w:val="clear" w:color="auto" w:fill="FFFFFF"/>
        <w:adjustRightInd w:val="0"/>
        <w:ind w:left="993" w:hanging="993"/>
        <w:jc w:val="both"/>
        <w:rPr>
          <w:rFonts w:cs="Calibri"/>
          <w:i/>
          <w:iCs/>
          <w:color w:val="000000"/>
          <w:sz w:val="20"/>
          <w:szCs w:val="20"/>
        </w:rPr>
      </w:pPr>
      <w:r w:rsidRPr="00EE2330">
        <w:rPr>
          <w:rFonts w:cs="Calibri"/>
          <w:b/>
          <w:bCs/>
          <w:i/>
          <w:iCs/>
          <w:color w:val="000000"/>
          <w:sz w:val="20"/>
          <w:szCs w:val="20"/>
        </w:rPr>
        <w:t>květen</w:t>
      </w:r>
      <w:r w:rsidR="000C36F1" w:rsidRPr="00EE2330">
        <w:rPr>
          <w:rFonts w:cs="Calibri"/>
          <w:b/>
          <w:bCs/>
          <w:i/>
          <w:iCs/>
          <w:color w:val="000000"/>
          <w:sz w:val="20"/>
          <w:szCs w:val="20"/>
        </w:rPr>
        <w:t xml:space="preserve"> 2017</w:t>
      </w:r>
      <w:r w:rsidR="00C63492" w:rsidRPr="00AC2EF5">
        <w:rPr>
          <w:rFonts w:cs="Calibri"/>
          <w:i/>
          <w:iCs/>
          <w:color w:val="000000"/>
          <w:sz w:val="20"/>
          <w:szCs w:val="20"/>
        </w:rPr>
        <w:t xml:space="preserve"> - </w:t>
      </w:r>
      <w:r w:rsidR="000C36F1" w:rsidRPr="00AC2EF5">
        <w:rPr>
          <w:rFonts w:cs="Calibri"/>
          <w:i/>
          <w:iCs/>
          <w:color w:val="000000"/>
          <w:sz w:val="20"/>
          <w:szCs w:val="20"/>
        </w:rPr>
        <w:t>byl upraven odstavec „Poskytování neuditorských služeb“</w:t>
      </w:r>
      <w:r w:rsidR="00F57C67" w:rsidRPr="00AC2EF5">
        <w:rPr>
          <w:rFonts w:cs="Calibri"/>
          <w:i/>
          <w:iCs/>
          <w:color w:val="000000"/>
          <w:sz w:val="20"/>
          <w:szCs w:val="20"/>
        </w:rPr>
        <w:t>.</w:t>
      </w:r>
    </w:p>
    <w:p w14:paraId="428DADD7" w14:textId="77777777" w:rsidR="00F50DAA" w:rsidRDefault="00F50DAA" w:rsidP="00F50D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58F" w14:paraId="3D6DB2C7" w14:textId="77777777" w:rsidTr="004E758F">
        <w:tc>
          <w:tcPr>
            <w:tcW w:w="9212" w:type="dxa"/>
          </w:tcPr>
          <w:p w14:paraId="5052F3C9" w14:textId="03DCD831" w:rsidR="004E758F" w:rsidRDefault="004E758F" w:rsidP="00B978B0">
            <w:pPr>
              <w:jc w:val="both"/>
            </w:pPr>
            <w:r>
              <w:t>Níže uvedený vzor je kombinací vzorů uvedených v aplikační doložce k ISA 700 a 720, které byly přijaty sněmem Komory auditorů ČR dne 21. 11. 2016. Tento vzor obecně zahrnuje všechny náležitosti, které zpráva auditora musí obsahovat včetně případů auditu subjektů veřejného zájmu</w:t>
            </w:r>
            <w:r w:rsidR="00755CB2">
              <w:t xml:space="preserve"> </w:t>
            </w:r>
            <w:r w:rsidR="00393766">
              <w:t>podle</w:t>
            </w:r>
            <w:r w:rsidR="00755CB2">
              <w:t xml:space="preserve"> právní</w:t>
            </w:r>
            <w:r w:rsidR="00AC2EF5">
              <w:t xml:space="preserve">ch </w:t>
            </w:r>
            <w:r w:rsidR="00755CB2">
              <w:t>předpis</w:t>
            </w:r>
            <w:r w:rsidR="00393766">
              <w:t>ů</w:t>
            </w:r>
            <w:r w:rsidR="00755CB2">
              <w:t xml:space="preserve"> EU</w:t>
            </w:r>
            <w:r>
              <w:t>.</w:t>
            </w:r>
          </w:p>
          <w:p w14:paraId="195F4854" w14:textId="77777777" w:rsidR="004E758F" w:rsidRDefault="004E758F" w:rsidP="00B978B0">
            <w:pPr>
              <w:jc w:val="both"/>
            </w:pPr>
          </w:p>
          <w:p w14:paraId="77667DFA" w14:textId="77777777" w:rsidR="004E758F" w:rsidRDefault="004E758F" w:rsidP="00B978B0">
            <w:pPr>
              <w:jc w:val="both"/>
            </w:pPr>
            <w:r>
              <w:t xml:space="preserve">Pro použití v konkrétních případech je nezbytné tento vzor upravit, a to zejména s ohledem na níže uvedené předpoklady, na jejichž základě byl vzor připraven, a na datum účinnosti jednotlivých požadavků na zprávu auditora (více viz aplikační doložky k ISA 700 a 720). Stručné informace k využitelnosti jednotlivých částí vzoru v konkrétních případech jsou uvedeny v poznámkách pod čarou. </w:t>
            </w:r>
          </w:p>
          <w:p w14:paraId="31FBDA41" w14:textId="77777777" w:rsidR="004E758F" w:rsidRPr="00773C2D" w:rsidRDefault="004E758F" w:rsidP="00B978B0">
            <w:pPr>
              <w:pStyle w:val="Heading32"/>
              <w:spacing w:after="120" w:line="280" w:lineRule="exact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Vzor odpovídá následujícím předpokladům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:</w:t>
            </w:r>
          </w:p>
          <w:p w14:paraId="25F0C1F6" w14:textId="22C16393" w:rsidR="004E758F" w:rsidRPr="00773C2D" w:rsidRDefault="004E758F" w:rsidP="00B978B0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jedná se o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audit účetní závěrky akciové společnosti s dualistickým systémem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správy a řízení společnosti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která je subjektem veřejného zájmu</w:t>
            </w:r>
            <w:r w:rsidR="00393766">
              <w:rPr>
                <w:rFonts w:cs="Times New Roman"/>
                <w:b w:val="0"/>
                <w:sz w:val="24"/>
                <w:szCs w:val="24"/>
              </w:rPr>
              <w:t xml:space="preserve"> podle právních předpisů EU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04DC5BF" w14:textId="77777777" w:rsidR="004E758F" w:rsidRPr="00773C2D" w:rsidRDefault="004E758F" w:rsidP="00B978B0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účetní závěrka je sestavena pro všeobecné úče</w:t>
            </w:r>
            <w:r>
              <w:rPr>
                <w:rFonts w:cs="Times New Roman"/>
                <w:b w:val="0"/>
                <w:sz w:val="24"/>
                <w:szCs w:val="24"/>
              </w:rPr>
              <w:t>ly vedením účetní jednotky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62A7FFE2" w14:textId="77777777" w:rsidR="004E758F" w:rsidRPr="00773C2D" w:rsidRDefault="004E758F" w:rsidP="00B978B0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>zpráva auditora zohledňuje požadavky na zprávu auditora o povinném auditu stanovené zákonem č. 93/2009 Sb., o auditorech,</w:t>
            </w:r>
          </w:p>
          <w:p w14:paraId="62107696" w14:textId="77777777" w:rsidR="004E758F" w:rsidRDefault="004E758F" w:rsidP="00B978B0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zpráva auditora neobsahuje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konkrétní příklady 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>hlavní</w:t>
            </w:r>
            <w:r>
              <w:rPr>
                <w:rFonts w:cs="Times New Roman"/>
                <w:b w:val="0"/>
                <w:sz w:val="24"/>
                <w:szCs w:val="24"/>
              </w:rPr>
              <w:t>ch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záležitost</w:t>
            </w:r>
            <w:r>
              <w:rPr>
                <w:rFonts w:cs="Times New Roman"/>
                <w:b w:val="0"/>
                <w:sz w:val="24"/>
                <w:szCs w:val="24"/>
              </w:rPr>
              <w:t>í</w:t>
            </w:r>
            <w:r w:rsidRPr="00773C2D">
              <w:rPr>
                <w:rFonts w:cs="Times New Roman"/>
                <w:b w:val="0"/>
                <w:sz w:val="24"/>
                <w:szCs w:val="24"/>
              </w:rPr>
              <w:t xml:space="preserve"> auditu dle ISA 701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2CA25181" w14:textId="77777777" w:rsidR="004E758F" w:rsidRDefault="004E758F" w:rsidP="00B978B0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ú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>četní jednotka je dle právních předpisů povinna sestavit výroční zprávu, jejíž součástí má být ověřovaná účetní závěrka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6A1D82C0" w14:textId="77777777" w:rsidR="004E758F" w:rsidRDefault="004E758F" w:rsidP="00B978B0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a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>uditor obdržel před datem vydání zprávy auditora úplnou výroční zprávu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92DE522" w14:textId="77777777" w:rsidR="004E758F" w:rsidRDefault="004E758F" w:rsidP="00B978B0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v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 xml:space="preserve">ýrok k účetní závěrce </w:t>
            </w:r>
            <w:r>
              <w:rPr>
                <w:rFonts w:cs="Times New Roman"/>
                <w:b w:val="0"/>
                <w:sz w:val="24"/>
                <w:szCs w:val="24"/>
              </w:rPr>
              <w:t>je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 xml:space="preserve"> bez výhrad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40BBF39D" w14:textId="77777777" w:rsidR="004E758F" w:rsidRDefault="004E758F" w:rsidP="004E758F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a</w:t>
            </w:r>
            <w:r w:rsidRPr="00F50DAA">
              <w:rPr>
                <w:rFonts w:cs="Times New Roman"/>
                <w:b w:val="0"/>
                <w:sz w:val="24"/>
                <w:szCs w:val="24"/>
              </w:rPr>
              <w:t>uditor ve výroční zprávě neidentifikoval žádnou významnou nesprávnost</w:t>
            </w:r>
            <w:r w:rsidR="0041078B">
              <w:rPr>
                <w:rFonts w:cs="Times New Roman"/>
                <w:b w:val="0"/>
                <w:sz w:val="24"/>
                <w:szCs w:val="24"/>
              </w:rPr>
              <w:t>,</w:t>
            </w:r>
          </w:p>
          <w:p w14:paraId="057D9299" w14:textId="77777777" w:rsidR="004E758F" w:rsidRDefault="0041078B" w:rsidP="0041078B">
            <w:pPr>
              <w:pStyle w:val="Heading32"/>
              <w:keepNext/>
              <w:keepLines/>
              <w:numPr>
                <w:ilvl w:val="0"/>
                <w:numId w:val="11"/>
              </w:numPr>
              <w:spacing w:before="0" w:after="120" w:line="280" w:lineRule="exact"/>
              <w:ind w:right="0"/>
            </w:pPr>
            <w:r>
              <w:rPr>
                <w:rFonts w:cs="Times New Roman"/>
                <w:b w:val="0"/>
                <w:sz w:val="24"/>
                <w:szCs w:val="24"/>
              </w:rPr>
              <w:t>n</w:t>
            </w:r>
            <w:r w:rsidR="004E758F">
              <w:rPr>
                <w:rFonts w:cs="Times New Roman"/>
                <w:b w:val="0"/>
                <w:sz w:val="24"/>
                <w:szCs w:val="24"/>
              </w:rPr>
              <w:t>ejedná se o audit konsolidované účetní závěrky</w:t>
            </w:r>
            <w:r>
              <w:rPr>
                <w:rFonts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347042CD" w14:textId="77777777" w:rsidR="004E758F" w:rsidRDefault="004E758F" w:rsidP="00F50DAA"/>
    <w:p w14:paraId="51BF8964" w14:textId="449BAC74" w:rsidR="00B836AD" w:rsidRDefault="00B836AD">
      <w:pPr>
        <w:rPr>
          <w:color w:val="FF0000"/>
        </w:rPr>
      </w:pPr>
      <w:r>
        <w:rPr>
          <w:color w:val="FF0000"/>
        </w:rPr>
        <w:br w:type="page"/>
      </w:r>
    </w:p>
    <w:p w14:paraId="3C068FC7" w14:textId="77777777" w:rsidR="00495730" w:rsidRPr="00AF0988" w:rsidRDefault="00495730" w:rsidP="00495730">
      <w:pPr>
        <w:rPr>
          <w:b/>
        </w:rPr>
      </w:pPr>
      <w:r w:rsidRPr="00AF0988">
        <w:rPr>
          <w:b/>
        </w:rPr>
        <w:lastRenderedPageBreak/>
        <w:t>ZPRÁVA NEZÁVISLÉHO AUDITORA</w:t>
      </w:r>
    </w:p>
    <w:p w14:paraId="62C6A5F3" w14:textId="77777777" w:rsidR="00495730" w:rsidRPr="00773C2D" w:rsidRDefault="00495730" w:rsidP="00495730">
      <w:pPr>
        <w:jc w:val="both"/>
        <w:rPr>
          <w:b/>
          <w:i/>
        </w:rPr>
      </w:pPr>
    </w:p>
    <w:p w14:paraId="79D94140" w14:textId="77777777" w:rsidR="004B67C0" w:rsidRPr="00773C2D" w:rsidRDefault="00E75B9E" w:rsidP="004B67C0">
      <w:pPr>
        <w:jc w:val="both"/>
      </w:pPr>
      <w:r w:rsidRPr="00773C2D">
        <w:t xml:space="preserve">Akcionářům </w:t>
      </w:r>
      <w:r w:rsidR="004B67C0" w:rsidRPr="00773C2D">
        <w:t xml:space="preserve">společnosti ABC, a.s. [nebo jiný příslušný příjemce] </w:t>
      </w:r>
    </w:p>
    <w:p w14:paraId="1EA93C9F" w14:textId="77777777" w:rsidR="00495730" w:rsidRPr="00773C2D" w:rsidRDefault="00495730" w:rsidP="00495730">
      <w:pPr>
        <w:jc w:val="both"/>
        <w:rPr>
          <w:b/>
          <w:i/>
        </w:rPr>
      </w:pPr>
    </w:p>
    <w:p w14:paraId="5D8769B7" w14:textId="77777777" w:rsidR="00495730" w:rsidRPr="00773C2D" w:rsidRDefault="00495730" w:rsidP="00495730">
      <w:pPr>
        <w:jc w:val="both"/>
        <w:rPr>
          <w:b/>
          <w:sz w:val="26"/>
          <w:szCs w:val="26"/>
        </w:rPr>
      </w:pPr>
      <w:r w:rsidRPr="00773C2D">
        <w:rPr>
          <w:b/>
          <w:sz w:val="26"/>
          <w:szCs w:val="26"/>
        </w:rPr>
        <w:t>Zpráva o auditu účetní závěrky</w:t>
      </w:r>
      <w:r w:rsidRPr="00773C2D">
        <w:rPr>
          <w:rStyle w:val="Znakapoznpodarou"/>
          <w:b/>
          <w:sz w:val="26"/>
          <w:szCs w:val="26"/>
        </w:rPr>
        <w:footnoteReference w:id="1"/>
      </w:r>
    </w:p>
    <w:p w14:paraId="2EEF7609" w14:textId="77777777" w:rsidR="00495730" w:rsidRPr="00773C2D" w:rsidRDefault="00495730" w:rsidP="00495730">
      <w:pPr>
        <w:jc w:val="both"/>
        <w:rPr>
          <w:i/>
        </w:rPr>
      </w:pPr>
    </w:p>
    <w:p w14:paraId="339007F8" w14:textId="77777777" w:rsidR="00495730" w:rsidRPr="00773C2D" w:rsidRDefault="00495730" w:rsidP="00495730">
      <w:pPr>
        <w:jc w:val="both"/>
        <w:rPr>
          <w:b/>
          <w:i/>
        </w:rPr>
      </w:pPr>
      <w:r w:rsidRPr="00773C2D">
        <w:rPr>
          <w:b/>
          <w:i/>
        </w:rPr>
        <w:t>Výrok auditora</w:t>
      </w:r>
    </w:p>
    <w:p w14:paraId="378E809F" w14:textId="77777777" w:rsidR="00495730" w:rsidRPr="00773C2D" w:rsidRDefault="00495730" w:rsidP="00495730">
      <w:pPr>
        <w:jc w:val="both"/>
        <w:rPr>
          <w:i/>
        </w:rPr>
      </w:pPr>
    </w:p>
    <w:p w14:paraId="70E93132" w14:textId="71100F08" w:rsidR="00495730" w:rsidRPr="00773C2D" w:rsidRDefault="00495730" w:rsidP="00495730">
      <w:pPr>
        <w:jc w:val="both"/>
      </w:pPr>
      <w:r w:rsidRPr="00773C2D">
        <w:t>Provedli jsme audit přiložené účetní závěrky společnosti ABC</w:t>
      </w:r>
      <w:r w:rsidR="004B67C0" w:rsidRPr="00773C2D">
        <w:t>, a.s. (dále také „</w:t>
      </w:r>
      <w:r w:rsidR="007C575A" w:rsidRPr="00773C2D">
        <w:t>Společnost</w:t>
      </w:r>
      <w:r w:rsidR="004B67C0" w:rsidRPr="00773C2D">
        <w:t>“)</w:t>
      </w:r>
      <w:r w:rsidRPr="00773C2D">
        <w:t xml:space="preserve"> sestavené na základě českých účetních předpisů, která se skládá z rozvahy k 31.12.20X1, výkazu zisku a ztráty, </w:t>
      </w:r>
      <w:r w:rsidR="00AF0988">
        <w:t>[</w:t>
      </w:r>
      <w:r w:rsidRPr="00773C2D">
        <w:t>přehledu o změnách vlastního kapitálu a přehledu o peněžních tocích</w:t>
      </w:r>
      <w:r w:rsidR="00AF0988">
        <w:t>]</w:t>
      </w:r>
      <w:r w:rsidR="00AF0988">
        <w:rPr>
          <w:rStyle w:val="Znakapoznpodarou"/>
        </w:rPr>
        <w:footnoteReference w:id="2"/>
      </w:r>
      <w:r w:rsidRPr="00773C2D">
        <w:t xml:space="preserve"> za rok</w:t>
      </w:r>
      <w:r w:rsidR="00AF0988">
        <w:rPr>
          <w:rStyle w:val="Znakapoznpodarou"/>
        </w:rPr>
        <w:footnoteReference w:id="3"/>
      </w:r>
      <w:r w:rsidRPr="00773C2D">
        <w:t xml:space="preserve"> končící 31.12.20X1 a přílohy této účetní závěrky,</w:t>
      </w:r>
      <w:r w:rsidR="00B978B0">
        <w:t xml:space="preserve"> </w:t>
      </w:r>
      <w:bookmarkStart w:id="0" w:name="_Hlk154653431"/>
      <w:r w:rsidR="00B978B0" w:rsidRPr="005941AA">
        <w:rPr>
          <w:color w:val="000000"/>
        </w:rPr>
        <w:t>včetně významných (materiálních) informací o použitých</w:t>
      </w:r>
      <w:r w:rsidR="00B978B0">
        <w:rPr>
          <w:b/>
          <w:bCs/>
          <w:color w:val="000000"/>
        </w:rPr>
        <w:t xml:space="preserve"> </w:t>
      </w:r>
      <w:r w:rsidR="00B978B0" w:rsidRPr="005941AA">
        <w:rPr>
          <w:bCs/>
          <w:color w:val="000000"/>
        </w:rPr>
        <w:t>účetních metodách</w:t>
      </w:r>
      <w:bookmarkEnd w:id="0"/>
      <w:r w:rsidRPr="00773C2D">
        <w:t xml:space="preserve">. Údaje o </w:t>
      </w:r>
      <w:r w:rsidR="007C575A" w:rsidRPr="00773C2D">
        <w:t>Společnost</w:t>
      </w:r>
      <w:r w:rsidRPr="00773C2D">
        <w:t>i jsou uvedeny v bodě X přílohy této účetní závěrky.</w:t>
      </w:r>
    </w:p>
    <w:p w14:paraId="3D113869" w14:textId="77777777" w:rsidR="00495730" w:rsidRPr="00773C2D" w:rsidRDefault="00495730" w:rsidP="00495730">
      <w:pPr>
        <w:jc w:val="both"/>
        <w:rPr>
          <w:i/>
        </w:rPr>
      </w:pPr>
    </w:p>
    <w:p w14:paraId="58ADE7B0" w14:textId="7B76CFC5" w:rsidR="00495730" w:rsidRDefault="00495730" w:rsidP="00495730">
      <w:pPr>
        <w:jc w:val="both"/>
      </w:pPr>
      <w:r w:rsidRPr="00773C2D">
        <w:t xml:space="preserve">Podle našeho názoru účetní závěrka podává věrný a poctivý obraz aktiv a pasiv </w:t>
      </w:r>
      <w:r w:rsidR="00011181">
        <w:t>s</w:t>
      </w:r>
      <w:r w:rsidR="007C575A" w:rsidRPr="00773C2D">
        <w:t>polečnost</w:t>
      </w:r>
      <w:r w:rsidRPr="00773C2D">
        <w:t>i ABC</w:t>
      </w:r>
      <w:r w:rsidR="00542236" w:rsidRPr="00773C2D">
        <w:t>, a.s.</w:t>
      </w:r>
      <w:r w:rsidRPr="00773C2D">
        <w:t xml:space="preserve"> k 31.12.20X1 a nákladů a výnosů a výsledku jejího hospodaření a peněžních toků za</w:t>
      </w:r>
      <w:r w:rsidRPr="00773C2D">
        <w:rPr>
          <w:i/>
        </w:rPr>
        <w:t xml:space="preserve"> </w:t>
      </w:r>
      <w:r w:rsidRPr="00773C2D">
        <w:t>rok končící 31.12.20X1 v souladu s českými účetními předpisy.</w:t>
      </w:r>
    </w:p>
    <w:p w14:paraId="229E3916" w14:textId="77777777" w:rsidR="00314B28" w:rsidRDefault="00314B28" w:rsidP="00495730">
      <w:pPr>
        <w:jc w:val="both"/>
      </w:pPr>
    </w:p>
    <w:p w14:paraId="2B00B4EB" w14:textId="318A8231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Alternativní znění výše uvedených dvou odstavců pro případy sestavení účetní závěrky dle </w:t>
      </w:r>
      <w:r w:rsidR="00B836AD">
        <w:rPr>
          <w:b/>
          <w:i/>
        </w:rPr>
        <w:t xml:space="preserve">účetních standardů </w:t>
      </w:r>
      <w:r>
        <w:rPr>
          <w:b/>
          <w:i/>
        </w:rPr>
        <w:t>IFRS (EU):</w:t>
      </w:r>
    </w:p>
    <w:p w14:paraId="5529707D" w14:textId="77777777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CD5270" w14:textId="5CB98F12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73C2D">
        <w:t xml:space="preserve">Provedli jsme audit přiložené účetní závěrky společnosti ABC, a.s. (dále také „Společnost“) sestavené na základě </w:t>
      </w:r>
      <w:r w:rsidR="00B978B0">
        <w:t xml:space="preserve">účetních standardů IFRS </w:t>
      </w:r>
      <w:r w:rsidRPr="00773C2D">
        <w:t>ve znění přijatém Evropskou unií, která se skládá z</w:t>
      </w:r>
      <w:r w:rsidR="00AF0988">
        <w:t> výkazu o finanční situaci</w:t>
      </w:r>
      <w:r w:rsidRPr="00773C2D">
        <w:t xml:space="preserve"> k 31.12.20X1, </w:t>
      </w:r>
      <w:r w:rsidR="00BB6EAE" w:rsidRPr="00BB6EAE">
        <w:t>z výkazu o úplném výsledku</w:t>
      </w:r>
      <w:r w:rsidRPr="00773C2D">
        <w:t xml:space="preserve">, </w:t>
      </w:r>
      <w:r w:rsidR="009D6E46">
        <w:t>výkazu</w:t>
      </w:r>
      <w:r w:rsidRPr="00773C2D">
        <w:t xml:space="preserve"> změn vlastního kapitálu a </w:t>
      </w:r>
      <w:r w:rsidR="009D6E46">
        <w:t>výkazu</w:t>
      </w:r>
      <w:r w:rsidRPr="00773C2D">
        <w:t xml:space="preserve"> o peněžních tocích za rok končící 31.12.20X1 a přílohy </w:t>
      </w:r>
      <w:r w:rsidR="00AE1979">
        <w:t>této účetní závěrky</w:t>
      </w:r>
      <w:r w:rsidRPr="00773C2D">
        <w:t>,</w:t>
      </w:r>
      <w:r w:rsidR="00B978B0">
        <w:t xml:space="preserve"> </w:t>
      </w:r>
      <w:r w:rsidR="00B978B0" w:rsidRPr="005941AA">
        <w:rPr>
          <w:color w:val="000000"/>
        </w:rPr>
        <w:t>včetně významných (materiálních) informací o použitých</w:t>
      </w:r>
      <w:r w:rsidR="00B978B0">
        <w:rPr>
          <w:b/>
          <w:bCs/>
          <w:color w:val="000000"/>
        </w:rPr>
        <w:t xml:space="preserve"> </w:t>
      </w:r>
      <w:r w:rsidR="00B978B0" w:rsidRPr="005941AA">
        <w:rPr>
          <w:bCs/>
          <w:color w:val="000000"/>
        </w:rPr>
        <w:t>účetních metodách</w:t>
      </w:r>
      <w:r w:rsidRPr="00773C2D">
        <w:t xml:space="preserve">. Údaje o Společnosti jsou uvedeny v bodě X přílohy </w:t>
      </w:r>
      <w:r w:rsidRPr="003564D3">
        <w:t>této účetní závěrky.</w:t>
      </w:r>
      <w:r w:rsidR="00464E7C">
        <w:t xml:space="preserve"> </w:t>
      </w:r>
    </w:p>
    <w:p w14:paraId="2CE06329" w14:textId="77777777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48F8E2" w14:textId="55B29E53" w:rsidR="000552F8" w:rsidRPr="00773C2D" w:rsidRDefault="000552F8" w:rsidP="00055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73C2D">
        <w:t xml:space="preserve">Podle našeho názoru účetní závěrka podává věrný a poctivý obraz finanční situace </w:t>
      </w:r>
      <w:r w:rsidR="00011181">
        <w:t>s</w:t>
      </w:r>
      <w:r w:rsidRPr="00773C2D">
        <w:t>polečnosti ABC, a.s. k 31.12.20X1 a finanční výkonnosti a peněžních toků za</w:t>
      </w:r>
      <w:r w:rsidRPr="00773C2D">
        <w:rPr>
          <w:i/>
        </w:rPr>
        <w:t xml:space="preserve"> </w:t>
      </w:r>
      <w:r w:rsidRPr="00773C2D">
        <w:t>rok končící 31.12.20X1 v souladu s</w:t>
      </w:r>
      <w:r w:rsidR="00B978B0">
        <w:t xml:space="preserve"> účetními standardy IFRS </w:t>
      </w:r>
      <w:r w:rsidRPr="00773C2D">
        <w:t>ve znění přijatém Evropskou unií.</w:t>
      </w:r>
    </w:p>
    <w:p w14:paraId="0580B98A" w14:textId="77777777" w:rsidR="000552F8" w:rsidRPr="00773C2D" w:rsidRDefault="000552F8" w:rsidP="00495730">
      <w:pPr>
        <w:jc w:val="both"/>
      </w:pPr>
    </w:p>
    <w:p w14:paraId="4F0E10CA" w14:textId="77777777" w:rsidR="00495730" w:rsidRPr="00773C2D" w:rsidRDefault="00495730" w:rsidP="00495730">
      <w:pPr>
        <w:jc w:val="both"/>
        <w:rPr>
          <w:b/>
          <w:i/>
        </w:rPr>
      </w:pPr>
      <w:r w:rsidRPr="00773C2D">
        <w:rPr>
          <w:b/>
          <w:i/>
        </w:rPr>
        <w:t>Základ pro výrok</w:t>
      </w:r>
    </w:p>
    <w:p w14:paraId="69A6E6AE" w14:textId="77777777" w:rsidR="00495730" w:rsidRPr="00773C2D" w:rsidRDefault="00495730" w:rsidP="00495730">
      <w:pPr>
        <w:jc w:val="both"/>
        <w:rPr>
          <w:i/>
        </w:rPr>
      </w:pPr>
    </w:p>
    <w:p w14:paraId="42EC7E1F" w14:textId="390460B7" w:rsidR="00542236" w:rsidRDefault="00542236" w:rsidP="00542236">
      <w:pPr>
        <w:jc w:val="both"/>
      </w:pPr>
      <w:r w:rsidRPr="00773C2D">
        <w:t xml:space="preserve">Audit jsme provedli v souladu se zákonem o auditorech, </w:t>
      </w:r>
      <w:r w:rsidRPr="00773C2D">
        <w:rPr>
          <w:rFonts w:ascii="StempelGaramondLTPro-Roman" w:hAnsi="StempelGaramondLTPro-Roman" w:cs="StempelGaramondLTPro-Roman"/>
        </w:rPr>
        <w:t>nařízením Evropského parlamentu a Rady (EU) č. 537/2014</w:t>
      </w:r>
      <w:r w:rsidR="009D6E46">
        <w:rPr>
          <w:rStyle w:val="Znakapoznpodarou"/>
          <w:rFonts w:ascii="StempelGaramondLTPro-Roman" w:hAnsi="StempelGaramondLTPro-Roman" w:cs="StempelGaramondLTPro-Roman"/>
        </w:rPr>
        <w:footnoteReference w:id="4"/>
      </w:r>
      <w:r w:rsidRPr="00773C2D">
        <w:rPr>
          <w:rFonts w:ascii="StempelGaramondLTPro-Roman" w:hAnsi="StempelGaramondLTPro-Roman" w:cs="StempelGaramondLTPro-Roman"/>
        </w:rPr>
        <w:t xml:space="preserve"> </w:t>
      </w:r>
      <w:r w:rsidR="008509F6" w:rsidRPr="00773C2D">
        <w:t xml:space="preserve">a standardy Komory auditorů České republiky pro audit, kterými jsou </w:t>
      </w:r>
      <w:r w:rsidRPr="00773C2D">
        <w:t>mezinárodní standardy pro audit (ISA)</w:t>
      </w:r>
      <w:r w:rsidR="00E670C9">
        <w:t>,</w:t>
      </w:r>
      <w:r w:rsidRPr="00773C2D">
        <w:t xml:space="preserve"> </w:t>
      </w:r>
      <w:r w:rsidR="00A6500A">
        <w:t xml:space="preserve">případně doplněné a upravené </w:t>
      </w:r>
      <w:r w:rsidR="00A6500A" w:rsidRPr="00773C2D">
        <w:t>související</w:t>
      </w:r>
      <w:r w:rsidR="00A6500A">
        <w:t>mi</w:t>
      </w:r>
      <w:r w:rsidR="00A6500A" w:rsidRPr="00773C2D">
        <w:t xml:space="preserve"> aplikační</w:t>
      </w:r>
      <w:r w:rsidR="00A6500A">
        <w:t>mi</w:t>
      </w:r>
      <w:r w:rsidR="00A6500A" w:rsidRPr="00773C2D">
        <w:t xml:space="preserve"> doložk</w:t>
      </w:r>
      <w:r w:rsidR="00A6500A">
        <w:t>ami</w:t>
      </w:r>
      <w:r w:rsidRPr="00773C2D">
        <w:t>. Naše odpovědnost stanovená těmito předpisy je podrobněji popsána v oddílu Odpovědnost auditora za audit účetní závěrky. V souladu se zákonem o auditorech a Etickým kodexem přijatým Komorou auditorů České republiky</w:t>
      </w:r>
      <w:r w:rsidR="00B239F9" w:rsidRPr="00EE2330">
        <w:rPr>
          <w:highlight w:val="yellow"/>
        </w:rPr>
        <w:t>,</w:t>
      </w:r>
      <w:r w:rsidR="00460BF2" w:rsidRPr="00EE2330">
        <w:rPr>
          <w:highlight w:val="yellow"/>
        </w:rPr>
        <w:t xml:space="preserve"> včetně jeho požadavků vztahujících se k</w:t>
      </w:r>
      <w:r w:rsidR="00460BF2" w:rsidRPr="0040459E">
        <w:rPr>
          <w:highlight w:val="yellow"/>
        </w:rPr>
        <w:t xml:space="preserve"> </w:t>
      </w:r>
      <w:r w:rsidR="00EE3DCD" w:rsidRPr="00EE2330">
        <w:rPr>
          <w:highlight w:val="yellow"/>
        </w:rPr>
        <w:t>audit</w:t>
      </w:r>
      <w:r w:rsidR="00B239F9" w:rsidRPr="0040459E">
        <w:rPr>
          <w:highlight w:val="yellow"/>
        </w:rPr>
        <w:t>ům</w:t>
      </w:r>
      <w:r w:rsidR="00EE3DCD" w:rsidRPr="00EE2330">
        <w:rPr>
          <w:highlight w:val="yellow"/>
        </w:rPr>
        <w:t xml:space="preserve"> účetních závěrek subjektů veřejného zájmu,</w:t>
      </w:r>
      <w:r w:rsidRPr="00773C2D">
        <w:t xml:space="preserve"> jsme na </w:t>
      </w:r>
      <w:r w:rsidR="007C575A" w:rsidRPr="00773C2D">
        <w:t>Společnost</w:t>
      </w:r>
      <w:r w:rsidRPr="00773C2D">
        <w:t>i nezávislí</w:t>
      </w:r>
      <w:r w:rsidR="00EE3DCD">
        <w:t xml:space="preserve">. </w:t>
      </w:r>
      <w:r w:rsidR="00EE3DCD" w:rsidRPr="00EE2330">
        <w:rPr>
          <w:highlight w:val="yellow"/>
        </w:rPr>
        <w:t>S</w:t>
      </w:r>
      <w:r w:rsidRPr="00EE2330">
        <w:rPr>
          <w:highlight w:val="yellow"/>
        </w:rPr>
        <w:t>plnili</w:t>
      </w:r>
      <w:r w:rsidRPr="00773C2D">
        <w:t xml:space="preserve"> jsme i další etické povinnosti vyplývající z uvedených předpisů. </w:t>
      </w:r>
      <w:r w:rsidR="007675E0" w:rsidRPr="00773C2D">
        <w:t xml:space="preserve">Domníváme </w:t>
      </w:r>
      <w:r w:rsidR="007675E0" w:rsidRPr="00773C2D">
        <w:lastRenderedPageBreak/>
        <w:t>se</w:t>
      </w:r>
      <w:r w:rsidRPr="00773C2D">
        <w:t>, že důkazní informace, které jsme shromáždili, poskytují dostatečný a vhodný základ pro vyjádření našeho výroku.</w:t>
      </w:r>
    </w:p>
    <w:p w14:paraId="45872D34" w14:textId="77777777" w:rsidR="00EE2330" w:rsidRPr="00773C2D" w:rsidRDefault="00EE2330" w:rsidP="00542236">
      <w:pPr>
        <w:jc w:val="both"/>
      </w:pPr>
    </w:p>
    <w:p w14:paraId="3153B899" w14:textId="77777777" w:rsidR="000C0E34" w:rsidRPr="00773C2D" w:rsidRDefault="000C0E34" w:rsidP="000C0E34">
      <w:pPr>
        <w:jc w:val="both"/>
        <w:rPr>
          <w:b/>
          <w:i/>
        </w:rPr>
      </w:pPr>
      <w:r w:rsidRPr="00773C2D">
        <w:rPr>
          <w:b/>
          <w:i/>
        </w:rPr>
        <w:t>Hlavní záležitosti auditu</w:t>
      </w:r>
      <w:r w:rsidR="000552F8">
        <w:rPr>
          <w:rStyle w:val="Znakapoznpodarou"/>
          <w:b/>
          <w:i/>
        </w:rPr>
        <w:footnoteReference w:id="5"/>
      </w:r>
    </w:p>
    <w:p w14:paraId="73DDA32A" w14:textId="77777777" w:rsidR="000C0E34" w:rsidRPr="00773C2D" w:rsidRDefault="000C0E34" w:rsidP="000C0E34">
      <w:pPr>
        <w:jc w:val="both"/>
        <w:rPr>
          <w:i/>
        </w:rPr>
      </w:pPr>
    </w:p>
    <w:p w14:paraId="18C97D71" w14:textId="77777777" w:rsidR="000C0E34" w:rsidRPr="00773C2D" w:rsidRDefault="000C0E34" w:rsidP="000C0E34">
      <w:pPr>
        <w:jc w:val="both"/>
      </w:pPr>
      <w:r w:rsidRPr="00773C2D">
        <w:t xml:space="preserve">Hlavní záležitosti auditu jsou záležitosti, které byly podle našeho odborného úsudku při auditu účetní závěrky za běžné období nejvýznamnější. Těmito záležitostmi jsme se zabývali v kontextu auditu účetní závěrky jako celku a v souvislosti s utvářením </w:t>
      </w:r>
      <w:r w:rsidR="007C4539">
        <w:t xml:space="preserve">našeho </w:t>
      </w:r>
      <w:r w:rsidRPr="00773C2D">
        <w:t>názoru na tuto závěrku. Samostatný výrok k těmto záležitostem nevyjadřujeme.</w:t>
      </w:r>
    </w:p>
    <w:p w14:paraId="04DE2335" w14:textId="77777777" w:rsidR="000C0E34" w:rsidRPr="00773C2D" w:rsidRDefault="000C0E34" w:rsidP="000C0E34">
      <w:pPr>
        <w:jc w:val="both"/>
      </w:pPr>
    </w:p>
    <w:p w14:paraId="58F962D9" w14:textId="77777777" w:rsidR="00542236" w:rsidRPr="00773C2D" w:rsidRDefault="006D3C37" w:rsidP="00542236">
      <w:pPr>
        <w:jc w:val="both"/>
        <w:rPr>
          <w:i/>
          <w:color w:val="FF0000"/>
        </w:rPr>
      </w:pPr>
      <w:r w:rsidRPr="00773C2D">
        <w:t>[Zde se uvádí hlavní záležitosti auditu]</w:t>
      </w:r>
    </w:p>
    <w:p w14:paraId="7251FA51" w14:textId="77777777" w:rsidR="006D3C37" w:rsidRPr="00773C2D" w:rsidRDefault="006D3C37" w:rsidP="00542236">
      <w:pPr>
        <w:jc w:val="both"/>
        <w:rPr>
          <w:i/>
          <w:color w:val="FF0000"/>
        </w:rPr>
      </w:pPr>
    </w:p>
    <w:p w14:paraId="4DFCED4F" w14:textId="77777777" w:rsidR="000552F8" w:rsidRPr="001A6A70" w:rsidRDefault="000552F8" w:rsidP="000552F8">
      <w:pPr>
        <w:jc w:val="both"/>
        <w:rPr>
          <w:b/>
          <w:i/>
        </w:rPr>
      </w:pPr>
      <w:r w:rsidRPr="001A6A70">
        <w:rPr>
          <w:b/>
          <w:i/>
        </w:rPr>
        <w:t>Ostatní informace uvedené ve výroční zprávě</w:t>
      </w:r>
      <w:r w:rsidR="009D6E46">
        <w:rPr>
          <w:rStyle w:val="Znakapoznpodarou"/>
          <w:b/>
          <w:i/>
        </w:rPr>
        <w:footnoteReference w:id="6"/>
      </w:r>
    </w:p>
    <w:p w14:paraId="7B28E183" w14:textId="77777777" w:rsidR="000552F8" w:rsidRPr="001A6A70" w:rsidRDefault="000552F8" w:rsidP="000552F8">
      <w:pPr>
        <w:jc w:val="both"/>
      </w:pPr>
    </w:p>
    <w:p w14:paraId="6A605B6B" w14:textId="77777777" w:rsidR="000552F8" w:rsidRPr="00D735BD" w:rsidRDefault="000552F8" w:rsidP="000552F8">
      <w:pPr>
        <w:jc w:val="both"/>
      </w:pPr>
      <w:r>
        <w:t>O</w:t>
      </w:r>
      <w:r w:rsidRPr="00D735BD">
        <w:t>statní</w:t>
      </w:r>
      <w:r>
        <w:t>mi</w:t>
      </w:r>
      <w:r w:rsidRPr="00D735BD">
        <w:t xml:space="preserve"> informace</w:t>
      </w:r>
      <w:r>
        <w:t xml:space="preserve">mi jsou v souladu s § 2 písm. b) zákona o auditorech </w:t>
      </w:r>
      <w:r w:rsidRPr="00D735BD">
        <w:t>informace uvedené ve výroční zprávě mimo účetní závěrku a naši zprávu auditora. Za ostatní informace odpovídá představenstvo Společnosti.</w:t>
      </w:r>
    </w:p>
    <w:p w14:paraId="0DA00964" w14:textId="77777777" w:rsidR="000552F8" w:rsidRDefault="000552F8" w:rsidP="000552F8">
      <w:pPr>
        <w:jc w:val="both"/>
      </w:pPr>
    </w:p>
    <w:p w14:paraId="4F94FBEC" w14:textId="15F9F8D7" w:rsidR="000552F8" w:rsidRDefault="000552F8" w:rsidP="000552F8">
      <w:pPr>
        <w:jc w:val="both"/>
      </w:pPr>
      <w:r w:rsidRPr="00D735BD">
        <w:t xml:space="preserve">Náš výrok k účetní závěrce se k ostatním informacím nevztahuje. Přesto je však součástí našich povinností souvisejících s </w:t>
      </w:r>
      <w:r w:rsidR="000B6D15">
        <w:t>auditem</w:t>
      </w:r>
      <w:r w:rsidR="000B6D15" w:rsidRPr="00D735BD">
        <w:t xml:space="preserve"> </w:t>
      </w:r>
      <w:r w:rsidRPr="00D735BD">
        <w:t xml:space="preserve">účetní závěrky seznámení se s ostatními informacemi a posouzení, zda ostatní informace nejsou ve významném (materiálním) nesouladu s účetní závěrkou či </w:t>
      </w:r>
      <w:r>
        <w:t xml:space="preserve">s </w:t>
      </w:r>
      <w:r w:rsidRPr="00D735BD">
        <w:t xml:space="preserve">našimi znalostmi o účetní jednotce získanými během </w:t>
      </w:r>
      <w:r w:rsidR="000B6D15" w:rsidRPr="00442C99">
        <w:t xml:space="preserve">provádění auditu </w:t>
      </w:r>
      <w:r w:rsidRPr="00D735BD">
        <w:t xml:space="preserve">nebo zda se jinak tyto informace nejeví jako významně (materiálně) nesprávné. </w:t>
      </w:r>
      <w:r>
        <w:t>Také</w:t>
      </w:r>
      <w:r w:rsidRPr="006E7EFA">
        <w:t xml:space="preserve"> posu</w:t>
      </w:r>
      <w:r>
        <w:t>zujeme</w:t>
      </w:r>
      <w:r w:rsidRPr="006E7EFA">
        <w:t xml:space="preserve">, zda </w:t>
      </w:r>
      <w:r>
        <w:t>ostatní informace</w:t>
      </w:r>
      <w:r w:rsidR="00C1359B">
        <w:t xml:space="preserve"> </w:t>
      </w:r>
      <w:r w:rsidR="00C1359B" w:rsidRPr="0008452B">
        <w:rPr>
          <w:rFonts w:asciiTheme="minorHAnsi" w:hAnsiTheme="minorHAnsi" w:cstheme="minorHAnsi"/>
        </w:rPr>
        <w:t>[</w:t>
      </w:r>
      <w:r w:rsidR="00C1359B" w:rsidRPr="00C1359B">
        <w:t>s výjimkou zprávy o udržitelnosti]</w:t>
      </w:r>
      <w:bookmarkStart w:id="1" w:name="_Ref185499351"/>
      <w:r w:rsidR="00BC30E2">
        <w:rPr>
          <w:rStyle w:val="Znakapoznpodarou"/>
        </w:rPr>
        <w:footnoteReference w:id="7"/>
      </w:r>
      <w:bookmarkEnd w:id="1"/>
      <w:r w:rsidR="00C1359B" w:rsidRPr="00C1359B">
        <w:t xml:space="preserve"> </w:t>
      </w:r>
      <w:r w:rsidRPr="006E7EFA">
        <w:t>byl</w:t>
      </w:r>
      <w:r>
        <w:t>y</w:t>
      </w:r>
      <w:r w:rsidRPr="006E7EFA">
        <w:t xml:space="preserve"> ve všech významných (materiálních) ohledech vypracován</w:t>
      </w:r>
      <w:r>
        <w:t>y</w:t>
      </w:r>
      <w:r w:rsidRPr="006E7EFA">
        <w:t xml:space="preserve"> v souladu s příslušnými právními předpisy.</w:t>
      </w:r>
      <w:r>
        <w:t xml:space="preserve"> Tímto posouzením se rozumí, </w:t>
      </w:r>
      <w:r w:rsidRPr="006E7EFA">
        <w:t xml:space="preserve">zda </w:t>
      </w:r>
      <w:r>
        <w:t>ostatní informace</w:t>
      </w:r>
      <w:r w:rsidR="00C1359B">
        <w:t xml:space="preserve"> </w:t>
      </w:r>
      <w:r w:rsidR="00C1359B" w:rsidRPr="0008452B">
        <w:rPr>
          <w:rFonts w:asciiTheme="minorHAnsi" w:hAnsiTheme="minorHAnsi" w:cstheme="minorHAnsi"/>
        </w:rPr>
        <w:t>[</w:t>
      </w:r>
      <w:r w:rsidR="00C1359B" w:rsidRPr="00C1359B">
        <w:t>s výjimkou zprávy o udržitelnosti]</w:t>
      </w:r>
      <w:r w:rsidR="00BC30E2" w:rsidRPr="00BC30E2">
        <w:rPr>
          <w:rStyle w:val="Znakapoznpodarou"/>
        </w:rPr>
        <w:fldChar w:fldCharType="begin"/>
      </w:r>
      <w:r w:rsidR="00BC30E2" w:rsidRPr="00BC30E2">
        <w:rPr>
          <w:rStyle w:val="Znakapoznpodarou"/>
        </w:rPr>
        <w:instrText xml:space="preserve"> NOTEREF _Ref185499351 \h </w:instrText>
      </w:r>
      <w:r w:rsidR="00BC30E2">
        <w:rPr>
          <w:rStyle w:val="Znakapoznpodarou"/>
        </w:rPr>
        <w:instrText xml:space="preserve"> \* MERGEFORMAT </w:instrText>
      </w:r>
      <w:r w:rsidR="00BC30E2" w:rsidRPr="00BC30E2">
        <w:rPr>
          <w:rStyle w:val="Znakapoznpodarou"/>
        </w:rPr>
      </w:r>
      <w:r w:rsidR="00BC30E2" w:rsidRPr="00BC30E2">
        <w:rPr>
          <w:rStyle w:val="Znakapoznpodarou"/>
        </w:rPr>
        <w:fldChar w:fldCharType="separate"/>
      </w:r>
      <w:r w:rsidR="00BC30E2" w:rsidRPr="00BC30E2">
        <w:rPr>
          <w:rStyle w:val="Znakapoznpodarou"/>
        </w:rPr>
        <w:t>7</w:t>
      </w:r>
      <w:r w:rsidR="00BC30E2" w:rsidRPr="00BC30E2">
        <w:rPr>
          <w:rStyle w:val="Znakapoznpodarou"/>
        </w:rPr>
        <w:fldChar w:fldCharType="end"/>
      </w:r>
      <w:r w:rsidR="00C1359B" w:rsidRPr="00BC30E2">
        <w:rPr>
          <w:rStyle w:val="Znakapoznpodarou"/>
        </w:rPr>
        <w:t xml:space="preserve"> </w:t>
      </w:r>
      <w:r>
        <w:t>splňují požadavky právních předpisů na formální náležitosti a postup vypracování ostatních informací v kontextu významnosti (materiality), tj. zda případné nedodržení uvedených požadavků by bylo způsobilé ovlivnit úsudek činěný na základě ostatních informací.</w:t>
      </w:r>
    </w:p>
    <w:p w14:paraId="21916839" w14:textId="77777777" w:rsidR="000552F8" w:rsidRDefault="000552F8" w:rsidP="000552F8">
      <w:pPr>
        <w:jc w:val="both"/>
      </w:pPr>
    </w:p>
    <w:p w14:paraId="6258243A" w14:textId="77777777" w:rsidR="000552F8" w:rsidRPr="00D735BD" w:rsidRDefault="000552F8" w:rsidP="000552F8">
      <w:pPr>
        <w:jc w:val="both"/>
      </w:pPr>
      <w:r w:rsidRPr="00D735BD">
        <w:t>Na základě provedených postupů, do míry, j</w:t>
      </w:r>
      <w:r w:rsidR="009C534F">
        <w:t>iž</w:t>
      </w:r>
      <w:r w:rsidRPr="00D735BD">
        <w:t xml:space="preserve"> dokážeme posoudit,</w:t>
      </w:r>
      <w:r>
        <w:t xml:space="preserve"> uvádíme, že</w:t>
      </w:r>
    </w:p>
    <w:p w14:paraId="6A72B6E2" w14:textId="77777777" w:rsidR="000552F8" w:rsidRDefault="000552F8" w:rsidP="000552F8">
      <w:pPr>
        <w:numPr>
          <w:ilvl w:val="0"/>
          <w:numId w:val="32"/>
        </w:numPr>
        <w:ind w:left="360"/>
        <w:jc w:val="both"/>
      </w:pPr>
      <w:r w:rsidRPr="00D735BD">
        <w:t xml:space="preserve">ostatní informace, které popisují skutečnosti, jež jsou též předmětem zobrazení v účetní závěrce, </w:t>
      </w:r>
      <w:r>
        <w:t xml:space="preserve">jsou </w:t>
      </w:r>
      <w:r w:rsidRPr="00D735BD">
        <w:t>ve všech významných (materiálních) ohledech v souladu s účetní závěrkou a</w:t>
      </w:r>
    </w:p>
    <w:p w14:paraId="4DDEF8EE" w14:textId="7C924733" w:rsidR="000552F8" w:rsidRPr="00040D51" w:rsidRDefault="000552F8" w:rsidP="000552F8">
      <w:pPr>
        <w:numPr>
          <w:ilvl w:val="0"/>
          <w:numId w:val="32"/>
        </w:numPr>
        <w:ind w:left="360"/>
        <w:jc w:val="both"/>
      </w:pPr>
      <w:r>
        <w:t>ostatní informace</w:t>
      </w:r>
      <w:r w:rsidR="00C1359B">
        <w:t xml:space="preserve"> </w:t>
      </w:r>
      <w:r w:rsidR="00C1359B" w:rsidRPr="0008452B">
        <w:rPr>
          <w:rFonts w:asciiTheme="minorHAnsi" w:hAnsiTheme="minorHAnsi" w:cstheme="minorHAnsi"/>
        </w:rPr>
        <w:t>[</w:t>
      </w:r>
      <w:r w:rsidR="00C1359B" w:rsidRPr="00C1359B">
        <w:t>s výjimkou zprávy o udržitelnosti]</w:t>
      </w:r>
      <w:r w:rsidR="00BC30E2" w:rsidRPr="00BC30E2">
        <w:rPr>
          <w:rStyle w:val="Znakapoznpodarou"/>
        </w:rPr>
        <w:fldChar w:fldCharType="begin"/>
      </w:r>
      <w:r w:rsidR="00BC30E2" w:rsidRPr="00BC30E2">
        <w:rPr>
          <w:rStyle w:val="Znakapoznpodarou"/>
        </w:rPr>
        <w:instrText xml:space="preserve"> NOTEREF _Ref185499351 \h </w:instrText>
      </w:r>
      <w:r w:rsidR="00BC30E2">
        <w:rPr>
          <w:rStyle w:val="Znakapoznpodarou"/>
        </w:rPr>
        <w:instrText xml:space="preserve"> \* MERGEFORMAT </w:instrText>
      </w:r>
      <w:r w:rsidR="00BC30E2" w:rsidRPr="00BC30E2">
        <w:rPr>
          <w:rStyle w:val="Znakapoznpodarou"/>
        </w:rPr>
      </w:r>
      <w:r w:rsidR="00BC30E2" w:rsidRPr="00BC30E2">
        <w:rPr>
          <w:rStyle w:val="Znakapoznpodarou"/>
        </w:rPr>
        <w:fldChar w:fldCharType="separate"/>
      </w:r>
      <w:r w:rsidR="00BC30E2" w:rsidRPr="00BC30E2">
        <w:rPr>
          <w:rStyle w:val="Znakapoznpodarou"/>
        </w:rPr>
        <w:t>7</w:t>
      </w:r>
      <w:r w:rsidR="00BC30E2" w:rsidRPr="00BC30E2">
        <w:rPr>
          <w:rStyle w:val="Znakapoznpodarou"/>
        </w:rPr>
        <w:fldChar w:fldCharType="end"/>
      </w:r>
      <w:r w:rsidR="00C1359B" w:rsidRPr="00BC30E2">
        <w:rPr>
          <w:rStyle w:val="Znakapoznpodarou"/>
        </w:rPr>
        <w:t xml:space="preserve"> </w:t>
      </w:r>
      <w:r w:rsidRPr="00D735BD">
        <w:t>byl</w:t>
      </w:r>
      <w:r>
        <w:t>y</w:t>
      </w:r>
      <w:r w:rsidRPr="00D735BD">
        <w:t xml:space="preserve"> vypracován</w:t>
      </w:r>
      <w:r>
        <w:t>y</w:t>
      </w:r>
      <w:r w:rsidRPr="00D735BD">
        <w:t xml:space="preserve"> v souladu s právními předpisy</w:t>
      </w:r>
      <w:r>
        <w:t>.</w:t>
      </w:r>
    </w:p>
    <w:p w14:paraId="7E00B3D3" w14:textId="77777777" w:rsidR="000552F8" w:rsidRPr="00040D51" w:rsidRDefault="000552F8" w:rsidP="000552F8">
      <w:pPr>
        <w:jc w:val="both"/>
      </w:pPr>
    </w:p>
    <w:p w14:paraId="7BFF9F08" w14:textId="01363369" w:rsidR="000552F8" w:rsidRDefault="000552F8" w:rsidP="000552F8">
      <w:pPr>
        <w:jc w:val="both"/>
      </w:pPr>
      <w:r w:rsidRPr="00E7285C">
        <w:t>Dále jsme povinni uvést</w:t>
      </w:r>
      <w:r>
        <w:t>, zda</w:t>
      </w:r>
      <w:r w:rsidRPr="00D735BD">
        <w:t xml:space="preserve"> na základě poznatků a povědomí o Společnosti, k nimž jsme dospěli při provádění auditu, ostatní informace neobsahují významné (materiální) věcné nesprávnosti.</w:t>
      </w:r>
      <w:r w:rsidRPr="00E7285C">
        <w:t xml:space="preserve"> V rámci uvedených postupů jsme v obdržených ostatních informacích žádné významné </w:t>
      </w:r>
      <w:r>
        <w:t xml:space="preserve">(materiální) </w:t>
      </w:r>
      <w:r w:rsidRPr="00E7285C">
        <w:t>věcné nesprávnosti nezjistili.</w:t>
      </w:r>
    </w:p>
    <w:p w14:paraId="18850000" w14:textId="77777777" w:rsidR="00A24E55" w:rsidRPr="00773C2D" w:rsidRDefault="00A24E55" w:rsidP="00542236">
      <w:pPr>
        <w:jc w:val="both"/>
        <w:rPr>
          <w:i/>
          <w:color w:val="FF0000"/>
        </w:rPr>
      </w:pPr>
    </w:p>
    <w:p w14:paraId="415DD0D9" w14:textId="3CFD01E1" w:rsidR="00542236" w:rsidRPr="00773C2D" w:rsidRDefault="00542236" w:rsidP="00542236">
      <w:pPr>
        <w:jc w:val="both"/>
        <w:rPr>
          <w:b/>
          <w:i/>
        </w:rPr>
      </w:pPr>
      <w:r w:rsidRPr="00773C2D">
        <w:rPr>
          <w:b/>
          <w:i/>
        </w:rPr>
        <w:t xml:space="preserve">Odpovědnost </w:t>
      </w:r>
      <w:r w:rsidR="003F7915" w:rsidRPr="00773C2D">
        <w:rPr>
          <w:b/>
          <w:i/>
        </w:rPr>
        <w:t>představenstva</w:t>
      </w:r>
      <w:r w:rsidR="000C0F6C" w:rsidRPr="00773C2D">
        <w:rPr>
          <w:rStyle w:val="Znakapoznpodarou"/>
          <w:i/>
        </w:rPr>
        <w:footnoteReference w:id="8"/>
      </w:r>
      <w:r w:rsidR="00E670C9">
        <w:rPr>
          <w:b/>
          <w:i/>
        </w:rPr>
        <w:t>,</w:t>
      </w:r>
      <w:r w:rsidRPr="00773C2D">
        <w:rPr>
          <w:b/>
          <w:i/>
        </w:rPr>
        <w:t xml:space="preserve"> dozorčí rady</w:t>
      </w:r>
      <w:r w:rsidR="000C0F6C" w:rsidRPr="00773C2D">
        <w:rPr>
          <w:b/>
          <w:i/>
        </w:rPr>
        <w:t xml:space="preserve"> a výboru pro audit</w:t>
      </w:r>
      <w:r w:rsidR="000C0F6C" w:rsidRPr="00773C2D">
        <w:rPr>
          <w:rStyle w:val="Znakapoznpodarou"/>
          <w:i/>
        </w:rPr>
        <w:footnoteReference w:id="9"/>
      </w:r>
      <w:r w:rsidRPr="00773C2D">
        <w:rPr>
          <w:b/>
          <w:i/>
        </w:rPr>
        <w:t xml:space="preserve"> </w:t>
      </w:r>
      <w:r w:rsidR="000C0F6C" w:rsidRPr="00773C2D">
        <w:rPr>
          <w:b/>
          <w:i/>
        </w:rPr>
        <w:t>Společnosti</w:t>
      </w:r>
      <w:r w:rsidRPr="00773C2D">
        <w:rPr>
          <w:b/>
          <w:i/>
        </w:rPr>
        <w:t xml:space="preserve"> za účetní závěrku</w:t>
      </w:r>
    </w:p>
    <w:p w14:paraId="4721EE4C" w14:textId="77777777" w:rsidR="00542236" w:rsidRPr="00773C2D" w:rsidRDefault="00542236" w:rsidP="00495730">
      <w:pPr>
        <w:jc w:val="both"/>
      </w:pPr>
    </w:p>
    <w:p w14:paraId="7BBFAECD" w14:textId="20AE58DF" w:rsidR="00542236" w:rsidRDefault="003F7915" w:rsidP="00542236">
      <w:pPr>
        <w:jc w:val="both"/>
      </w:pPr>
      <w:r w:rsidRPr="00773C2D">
        <w:t>Představenstvo</w:t>
      </w:r>
      <w:r w:rsidR="00542236" w:rsidRPr="00773C2D">
        <w:t xml:space="preserve"> </w:t>
      </w:r>
      <w:r w:rsidR="007C575A" w:rsidRPr="00773C2D">
        <w:t>Společnost</w:t>
      </w:r>
      <w:r w:rsidR="00542236" w:rsidRPr="00773C2D">
        <w:t>i odpov</w:t>
      </w:r>
      <w:r w:rsidR="002C7ED1" w:rsidRPr="00773C2D">
        <w:t>ídá</w:t>
      </w:r>
      <w:r w:rsidR="00542236" w:rsidRPr="00773C2D">
        <w:t xml:space="preserve"> za sestavení účetní závěrky podávající věrný a poctivý obraz</w:t>
      </w:r>
      <w:r w:rsidR="00542236" w:rsidRPr="00773C2D" w:rsidDel="0094125E">
        <w:t xml:space="preserve"> </w:t>
      </w:r>
      <w:r w:rsidR="00542236" w:rsidRPr="00773C2D">
        <w:t>v souladu s českými účetními předpisy, a za takový vnitřní kontrolní systém, který považuje za nezbytný pro sestavení účetní závěrky tak, aby neobsahovala významné (materiální) nesprávnosti způsobené podvodem nebo chybou.</w:t>
      </w:r>
    </w:p>
    <w:p w14:paraId="5B94350F" w14:textId="5FC45651" w:rsidR="00F91857" w:rsidRDefault="00F91857" w:rsidP="00542236">
      <w:pPr>
        <w:jc w:val="both"/>
        <w:rPr>
          <w:i/>
        </w:rPr>
      </w:pPr>
    </w:p>
    <w:p w14:paraId="784A26C4" w14:textId="76C18ABC" w:rsidR="00F91857" w:rsidRDefault="00F91857" w:rsidP="00F9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Alternativní znění výše uvedeného odstavce pro případy sestavení účetní závěrky dle účetních standardů IFRS (EU):</w:t>
      </w:r>
    </w:p>
    <w:p w14:paraId="79F43864" w14:textId="1EA99820" w:rsidR="00F91857" w:rsidRDefault="00F91857" w:rsidP="00F9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4FBE344C" w14:textId="2C2E96C2" w:rsidR="00F91857" w:rsidRPr="00773C2D" w:rsidRDefault="00F91857" w:rsidP="00F9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E0DF4">
        <w:t>Představenstvo Společnosti odpovídá za sestavení účetní závěrky podávající věrný a poctivý obraz</w:t>
      </w:r>
      <w:r w:rsidRPr="008E0DF4" w:rsidDel="0094125E">
        <w:t xml:space="preserve"> </w:t>
      </w:r>
      <w:r w:rsidRPr="008E0DF4">
        <w:t>v souladu</w:t>
      </w:r>
      <w:r w:rsidRPr="00773C2D">
        <w:t xml:space="preserve"> s</w:t>
      </w:r>
      <w:r>
        <w:t xml:space="preserve"> účetními standardy IFRS </w:t>
      </w:r>
      <w:r w:rsidRPr="00773C2D">
        <w:t>ve znění přijatém Evropskou unií</w:t>
      </w:r>
      <w:r w:rsidRPr="008E0DF4">
        <w:t>, a za takový vnitřní kontrolní systém, který považuje za nezbytný pro sestavení účetní závěrky tak, aby neobsahovala významné (materiální) nesprávnosti způsobené podvodem nebo chybou.</w:t>
      </w:r>
    </w:p>
    <w:p w14:paraId="0A30416A" w14:textId="77777777" w:rsidR="00F91857" w:rsidRPr="00773C2D" w:rsidRDefault="00F91857" w:rsidP="00542236">
      <w:pPr>
        <w:jc w:val="both"/>
        <w:rPr>
          <w:i/>
        </w:rPr>
      </w:pPr>
    </w:p>
    <w:p w14:paraId="03A1DC79" w14:textId="77777777" w:rsidR="00542236" w:rsidRPr="00773C2D" w:rsidRDefault="00542236" w:rsidP="00542236">
      <w:pPr>
        <w:jc w:val="both"/>
        <w:rPr>
          <w:i/>
        </w:rPr>
      </w:pPr>
    </w:p>
    <w:p w14:paraId="7393B3F1" w14:textId="77777777" w:rsidR="00542236" w:rsidRDefault="00542236" w:rsidP="00542236">
      <w:pPr>
        <w:jc w:val="both"/>
      </w:pPr>
      <w:r w:rsidRPr="00773C2D">
        <w:t xml:space="preserve">Při sestavování účetní závěrky je </w:t>
      </w:r>
      <w:r w:rsidR="003F7915" w:rsidRPr="00773C2D">
        <w:t>představenstvo</w:t>
      </w:r>
      <w:r w:rsidRPr="00773C2D">
        <w:t xml:space="preserve"> </w:t>
      </w:r>
      <w:r w:rsidR="007C575A" w:rsidRPr="00773C2D">
        <w:t>Společnost</w:t>
      </w:r>
      <w:r w:rsidRPr="00773C2D">
        <w:t>i povinn</w:t>
      </w:r>
      <w:r w:rsidR="003F7915" w:rsidRPr="00773C2D">
        <w:t>o</w:t>
      </w:r>
      <w:r w:rsidRPr="00773C2D">
        <w:t xml:space="preserve"> posoudit, zda je </w:t>
      </w:r>
      <w:r w:rsidR="007C575A" w:rsidRPr="00773C2D">
        <w:t>Společnost</w:t>
      </w:r>
      <w:r w:rsidRPr="00773C2D">
        <w:t xml:space="preserve"> schopna nepřetržitě trvat, a pokud je to relevantní, popsat v příloze účetní závěrky záležitosti týkající se jejího nepřetržitého trvání a použití předpokladu nepřetržitého trvání při sestavení účetní závěrky, s výjimkou případů, kdy </w:t>
      </w:r>
      <w:r w:rsidR="003F7915" w:rsidRPr="00773C2D">
        <w:t>představenstvo</w:t>
      </w:r>
      <w:r w:rsidRPr="00773C2D">
        <w:t xml:space="preserve"> plánuje zrušení </w:t>
      </w:r>
      <w:r w:rsidR="007C575A" w:rsidRPr="00773C2D">
        <w:t>Společnost</w:t>
      </w:r>
      <w:r w:rsidRPr="00773C2D">
        <w:t>i nebo ukonč</w:t>
      </w:r>
      <w:r w:rsidR="009C2C33">
        <w:t>ení</w:t>
      </w:r>
      <w:r w:rsidRPr="00773C2D">
        <w:t xml:space="preserve"> její činnost</w:t>
      </w:r>
      <w:r w:rsidR="009C2C33">
        <w:t>i</w:t>
      </w:r>
      <w:r w:rsidRPr="00773C2D">
        <w:t>, resp. kdy nemá jinou reálnou možnost než tak učinit.</w:t>
      </w:r>
    </w:p>
    <w:p w14:paraId="046B2847" w14:textId="77777777" w:rsidR="00B7753A" w:rsidRDefault="00B7753A" w:rsidP="00542236">
      <w:pPr>
        <w:jc w:val="both"/>
      </w:pPr>
    </w:p>
    <w:p w14:paraId="1DF4EBDC" w14:textId="77777777" w:rsidR="00B7753A" w:rsidRDefault="00B7753A" w:rsidP="00B77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rPr>
          <w:b/>
          <w:i/>
        </w:rPr>
        <w:t>Alternativní znění výše uvedeného odstavce pro případy sestavení účetní závěrky dle IFRS (EU):</w:t>
      </w:r>
      <w:r w:rsidRPr="00D43827">
        <w:t xml:space="preserve"> </w:t>
      </w:r>
    </w:p>
    <w:p w14:paraId="58091603" w14:textId="77777777" w:rsidR="00B7753A" w:rsidRDefault="00B7753A" w:rsidP="00B77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73C2D">
        <w:t>Při sestavování účetní závěrky je představenstvo Společnosti povinno posoudit, zda je Společnost schopna pokračovat v trvání podniku, a pokud je to relevantní, popsat v příloze účetní závěrky záležitosti týkající se trvání podniku a použití předpokladu trvání podniku při sestavení účetní závěrky, s výjimkou případů, kdy představenstvo plánuje zrušení Společnosti nebo ukonč</w:t>
      </w:r>
      <w:r>
        <w:t>ení</w:t>
      </w:r>
      <w:r w:rsidRPr="00773C2D">
        <w:t xml:space="preserve"> její činnost</w:t>
      </w:r>
      <w:r>
        <w:t>i</w:t>
      </w:r>
      <w:r w:rsidRPr="00773C2D">
        <w:t>, resp. kdy nemá jinou reálnou možnost než tak učinit.</w:t>
      </w:r>
    </w:p>
    <w:p w14:paraId="6F9E48AE" w14:textId="77777777" w:rsidR="00B7753A" w:rsidRPr="00773C2D" w:rsidRDefault="00B7753A" w:rsidP="00542236">
      <w:pPr>
        <w:jc w:val="both"/>
      </w:pPr>
    </w:p>
    <w:p w14:paraId="77C0AF05" w14:textId="2EB41949" w:rsidR="00542236" w:rsidRPr="00773C2D" w:rsidRDefault="00542236" w:rsidP="00542236">
      <w:pPr>
        <w:jc w:val="both"/>
        <w:rPr>
          <w:i/>
        </w:rPr>
      </w:pPr>
      <w:r w:rsidRPr="00773C2D">
        <w:t xml:space="preserve">Za dohled nad procesem účetního výkaznictví ve </w:t>
      </w:r>
      <w:r w:rsidR="007C575A" w:rsidRPr="00773C2D">
        <w:t>Společnost</w:t>
      </w:r>
      <w:r w:rsidRPr="00773C2D">
        <w:t>i odpovídá dozorčí rada</w:t>
      </w:r>
      <w:r w:rsidR="00193970" w:rsidRPr="00773C2D">
        <w:t xml:space="preserve"> </w:t>
      </w:r>
      <w:r w:rsidR="00C63492">
        <w:t>ve spolupráci s</w:t>
      </w:r>
      <w:r w:rsidR="00193970" w:rsidRPr="00773C2D">
        <w:t xml:space="preserve"> výbor</w:t>
      </w:r>
      <w:r w:rsidR="00C63492">
        <w:t>em</w:t>
      </w:r>
      <w:r w:rsidR="00193970" w:rsidRPr="00773C2D">
        <w:t xml:space="preserve"> pro audit</w:t>
      </w:r>
      <w:r w:rsidRPr="00773C2D">
        <w:t>.</w:t>
      </w:r>
      <w:r w:rsidR="004E758F">
        <w:rPr>
          <w:rStyle w:val="Znakapoznpodarou"/>
        </w:rPr>
        <w:footnoteReference w:id="10"/>
      </w:r>
    </w:p>
    <w:p w14:paraId="36073C2B" w14:textId="77777777" w:rsidR="00495730" w:rsidRPr="00773C2D" w:rsidRDefault="00495730" w:rsidP="00495730">
      <w:pPr>
        <w:jc w:val="both"/>
        <w:rPr>
          <w:i/>
          <w:color w:val="FF0000"/>
        </w:rPr>
      </w:pPr>
    </w:p>
    <w:p w14:paraId="4E9C0015" w14:textId="77777777" w:rsidR="00495730" w:rsidRPr="00773C2D" w:rsidRDefault="00495730" w:rsidP="00495730">
      <w:pPr>
        <w:jc w:val="both"/>
        <w:rPr>
          <w:b/>
          <w:i/>
        </w:rPr>
      </w:pPr>
      <w:r w:rsidRPr="00773C2D">
        <w:rPr>
          <w:b/>
          <w:i/>
        </w:rPr>
        <w:t>Odpovědnost auditora za audit účetní závěrky</w:t>
      </w:r>
    </w:p>
    <w:p w14:paraId="51BC03E3" w14:textId="77777777" w:rsidR="00495730" w:rsidRPr="00773C2D" w:rsidRDefault="00495730" w:rsidP="00495730">
      <w:pPr>
        <w:jc w:val="both"/>
        <w:rPr>
          <w:i/>
          <w:color w:val="FF0000"/>
        </w:rPr>
      </w:pPr>
    </w:p>
    <w:p w14:paraId="34EE08A3" w14:textId="77777777" w:rsidR="00495730" w:rsidRPr="00773C2D" w:rsidRDefault="00495730" w:rsidP="00495730">
      <w:pPr>
        <w:jc w:val="both"/>
      </w:pPr>
      <w:r w:rsidRPr="00773C2D">
        <w:t xml:space="preserve"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</w:t>
      </w:r>
      <w:r w:rsidR="009C2C33">
        <w:t>s výše uvedenými předpisy</w:t>
      </w:r>
      <w:r w:rsidR="009C2C33" w:rsidRPr="00773C2D">
        <w:t xml:space="preserve"> </w:t>
      </w:r>
      <w:r w:rsidRPr="00773C2D">
        <w:t>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14:paraId="2ACE21A5" w14:textId="77777777" w:rsidR="00542236" w:rsidRPr="00773C2D" w:rsidRDefault="00542236" w:rsidP="00495730">
      <w:pPr>
        <w:jc w:val="both"/>
      </w:pPr>
    </w:p>
    <w:p w14:paraId="40ED74E8" w14:textId="77777777" w:rsidR="00542236" w:rsidRPr="00773C2D" w:rsidRDefault="00542236" w:rsidP="00542236">
      <w:pPr>
        <w:jc w:val="both"/>
      </w:pPr>
      <w:r w:rsidRPr="00773C2D">
        <w:t xml:space="preserve">Při provádění auditu v souladu </w:t>
      </w:r>
      <w:r w:rsidR="009C2C33">
        <w:t>s výše uvedenými předpisy</w:t>
      </w:r>
      <w:r w:rsidR="009C2C33" w:rsidRPr="00773C2D">
        <w:t xml:space="preserve"> </w:t>
      </w:r>
      <w:r w:rsidRPr="00773C2D">
        <w:t>je naší povinností uplatňovat během celého auditu odborný úsudek a zachovávat profesní skepticismus. Dále je naší povinností:</w:t>
      </w:r>
    </w:p>
    <w:p w14:paraId="70AACA6F" w14:textId="7813B4AE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lastRenderedPageBreak/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14:paraId="63250294" w14:textId="77777777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 xml:space="preserve">Seznámit se s vnitřním kontrolním systémem </w:t>
      </w:r>
      <w:r w:rsidR="007C575A" w:rsidRPr="00773C2D">
        <w:t>Společnost</w:t>
      </w:r>
      <w:r w:rsidRPr="00773C2D">
        <w:t>i relevantním pro audit v takovém rozsahu, abychom mohli navrhnout auditorské postupy vhodné s ohledem na dané okolnosti, nikoli abychom mohli vyjádřit názor na účinnost jejího vnitřního kontrolního systému.</w:t>
      </w:r>
    </w:p>
    <w:p w14:paraId="1DE0C428" w14:textId="513DE43D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>Posoudit vhodnost použitých účetních</w:t>
      </w:r>
      <w:r w:rsidR="00B978B0">
        <w:t xml:space="preserve"> metod</w:t>
      </w:r>
      <w:r w:rsidRPr="00773C2D">
        <w:t xml:space="preserve">, přiměřenost provedených účetních odhadů a informace, které v této souvislosti </w:t>
      </w:r>
      <w:r w:rsidR="003F7915" w:rsidRPr="00773C2D">
        <w:t>představenstvo</w:t>
      </w:r>
      <w:r w:rsidRPr="00773C2D">
        <w:t xml:space="preserve"> </w:t>
      </w:r>
      <w:r w:rsidR="007C575A" w:rsidRPr="00773C2D">
        <w:t>Společnost</w:t>
      </w:r>
      <w:r w:rsidRPr="00773C2D">
        <w:t>i uvedlo v příloze účetní závěrky.</w:t>
      </w:r>
    </w:p>
    <w:p w14:paraId="52D1E495" w14:textId="77777777" w:rsidR="00542236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>Posoudit</w:t>
      </w:r>
      <w:r w:rsidR="006C63D9" w:rsidRPr="00773C2D">
        <w:t xml:space="preserve"> vhodnost použití předpokladu nepřetržitého trvání při sestavení účetní závěrky představenstvem</w:t>
      </w:r>
      <w:r w:rsidRPr="00773C2D">
        <w:t xml:space="preserve"> a </w:t>
      </w:r>
      <w:r w:rsidR="00E670C9">
        <w:t xml:space="preserve">to, </w:t>
      </w:r>
      <w:r w:rsidRPr="00773C2D">
        <w:t xml:space="preserve">zda s ohledem na shromážděné důkazní informace existuje významná (materiální) nejistota vyplývající z událostí nebo podmínek, které mohou významně zpochybnit schopnost </w:t>
      </w:r>
      <w:r w:rsidR="007C575A" w:rsidRPr="00773C2D">
        <w:t>Společnost</w:t>
      </w:r>
      <w:r w:rsidRPr="00773C2D">
        <w:t xml:space="preserve">i 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</w:t>
      </w:r>
      <w:r w:rsidR="007C575A" w:rsidRPr="00773C2D">
        <w:t>Společnost</w:t>
      </w:r>
      <w:r w:rsidRPr="00773C2D">
        <w:t xml:space="preserve">i nepřetržitě trvat vycházejí z důkazních informací, které jsme získali do data naší zprávy. Nicméně budoucí události nebo podmínky mohou vést k tomu, že </w:t>
      </w:r>
      <w:r w:rsidR="007C575A" w:rsidRPr="00773C2D">
        <w:t>Společnost</w:t>
      </w:r>
      <w:r w:rsidRPr="00773C2D">
        <w:t xml:space="preserve"> </w:t>
      </w:r>
      <w:r w:rsidR="006C63D9" w:rsidRPr="00773C2D">
        <w:t>ztratí schopnost</w:t>
      </w:r>
      <w:r w:rsidRPr="00773C2D">
        <w:t xml:space="preserve"> nepřetržit</w:t>
      </w:r>
      <w:r w:rsidR="006C63D9" w:rsidRPr="00773C2D">
        <w:t>ě</w:t>
      </w:r>
      <w:r w:rsidRPr="00773C2D">
        <w:t xml:space="preserve"> trv</w:t>
      </w:r>
      <w:r w:rsidR="006C63D9" w:rsidRPr="00773C2D">
        <w:t>at</w:t>
      </w:r>
      <w:r w:rsidRPr="00773C2D">
        <w:t>.</w:t>
      </w:r>
    </w:p>
    <w:p w14:paraId="593B0EDB" w14:textId="1AD01015" w:rsidR="00B739B0" w:rsidRDefault="00B739B0" w:rsidP="0044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26"/>
        <w:jc w:val="both"/>
        <w:rPr>
          <w:b/>
          <w:i/>
        </w:rPr>
      </w:pPr>
      <w:r w:rsidRPr="00B739B0">
        <w:rPr>
          <w:b/>
          <w:i/>
        </w:rPr>
        <w:t>Al</w:t>
      </w:r>
      <w:r w:rsidR="00B978B0">
        <w:rPr>
          <w:b/>
          <w:i/>
        </w:rPr>
        <w:t>t</w:t>
      </w:r>
      <w:r w:rsidRPr="00442C99">
        <w:rPr>
          <w:b/>
          <w:i/>
        </w:rPr>
        <w:t xml:space="preserve">ernativní znění výše uvedeného odstavce pro případy sestavení </w:t>
      </w:r>
      <w:r>
        <w:rPr>
          <w:b/>
          <w:i/>
        </w:rPr>
        <w:t xml:space="preserve">účetní </w:t>
      </w:r>
      <w:r w:rsidRPr="00442C99">
        <w:rPr>
          <w:b/>
          <w:i/>
        </w:rPr>
        <w:t xml:space="preserve">závěrky dle </w:t>
      </w:r>
      <w:r w:rsidR="00B978B0">
        <w:rPr>
          <w:b/>
          <w:i/>
        </w:rPr>
        <w:t xml:space="preserve">účetních standardů </w:t>
      </w:r>
      <w:r w:rsidRPr="00442C99">
        <w:rPr>
          <w:b/>
          <w:i/>
        </w:rPr>
        <w:t>IFRS (EU):</w:t>
      </w:r>
    </w:p>
    <w:p w14:paraId="49B5C285" w14:textId="77777777" w:rsidR="00B739B0" w:rsidRPr="00442C99" w:rsidRDefault="00B739B0" w:rsidP="00442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426"/>
        <w:jc w:val="both"/>
        <w:rPr>
          <w:b/>
          <w:i/>
        </w:rPr>
      </w:pPr>
      <w:r w:rsidRPr="00773C2D">
        <w:t xml:space="preserve">Posoudit vhodnost použití předpokladu trvání podniku při sestavení účetní závěrky představenstvem a </w:t>
      </w:r>
      <w:r>
        <w:t xml:space="preserve">to, </w:t>
      </w:r>
      <w:r w:rsidRPr="00773C2D">
        <w:t>zda s ohledem na shromážděné důkazní informace existuje významná (materiální) nejistota vyplývající z událostí nebo podmínek, které mohou významně zpochybnit schopnost Společnosti pokračovat v trvání podniku.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Společnosti pokračovat v trvání podniku vycházejí z důkazních informací, které jsme získali do data naší zprávy. Nicméně budoucí události nebo podmínky mohou vést k tomu, že Společnost ztratí schopnost pokračovat v trvání podniku</w:t>
      </w:r>
    </w:p>
    <w:p w14:paraId="5CF455C9" w14:textId="77777777" w:rsidR="00542236" w:rsidRPr="00773C2D" w:rsidRDefault="00542236" w:rsidP="00542236">
      <w:pPr>
        <w:numPr>
          <w:ilvl w:val="0"/>
          <w:numId w:val="31"/>
        </w:numPr>
        <w:spacing w:before="120"/>
        <w:ind w:left="425" w:hanging="425"/>
        <w:jc w:val="both"/>
      </w:pPr>
      <w:r w:rsidRPr="00773C2D">
        <w:t xml:space="preserve">Vyhodnotit celkovou prezentaci, členění a obsah účetní závěrky, včetně přílohy, a dále to, zda účetní závěrka </w:t>
      </w:r>
      <w:r w:rsidR="009C2C33">
        <w:t>zobrazuje</w:t>
      </w:r>
      <w:r w:rsidRPr="00773C2D">
        <w:t xml:space="preserve"> podkladové transakce a události způsobem, který vede k věrnému zobrazení.</w:t>
      </w:r>
    </w:p>
    <w:p w14:paraId="248BE852" w14:textId="77777777" w:rsidR="00542236" w:rsidRPr="00773C2D" w:rsidRDefault="00542236" w:rsidP="00542236">
      <w:pPr>
        <w:jc w:val="both"/>
      </w:pPr>
    </w:p>
    <w:p w14:paraId="265C65A3" w14:textId="77777777" w:rsidR="00542236" w:rsidRPr="00773C2D" w:rsidRDefault="00542236" w:rsidP="00542236">
      <w:pPr>
        <w:jc w:val="both"/>
      </w:pPr>
      <w:r w:rsidRPr="00773C2D">
        <w:t xml:space="preserve">Naší povinností je informovat </w:t>
      </w:r>
      <w:r w:rsidR="000B1493" w:rsidRPr="00773C2D">
        <w:t>představenstvo, dozorčí radu a výbor pro audit</w:t>
      </w:r>
      <w:r w:rsidR="00257A11" w:rsidRPr="00773C2D">
        <w:rPr>
          <w:rStyle w:val="Znakapoznpodarou"/>
        </w:rPr>
        <w:footnoteReference w:id="11"/>
      </w:r>
      <w:r w:rsidRPr="00773C2D">
        <w:t xml:space="preserve"> mimo jiné o plánovaném rozsahu a načasování auditu a o významných zjištěních, která jsme v jeho průběhu učinili, včetně zjištěných významných nedostatků ve vnitřním kontrolním systému.</w:t>
      </w:r>
    </w:p>
    <w:p w14:paraId="41B3DB82" w14:textId="77777777" w:rsidR="002E3A1D" w:rsidRPr="00773C2D" w:rsidRDefault="002E3A1D" w:rsidP="002E3A1D">
      <w:pPr>
        <w:jc w:val="both"/>
      </w:pPr>
    </w:p>
    <w:p w14:paraId="2BF8D408" w14:textId="77777777" w:rsidR="00257A11" w:rsidRPr="00773C2D" w:rsidRDefault="00257A11" w:rsidP="00257A11">
      <w:pPr>
        <w:jc w:val="both"/>
      </w:pPr>
      <w:r w:rsidRPr="00773C2D">
        <w:lastRenderedPageBreak/>
        <w:t>Naší povinností je rovněž poskytnout výboru pro audit</w:t>
      </w:r>
      <w:r w:rsidR="00110553" w:rsidRPr="00773C2D">
        <w:t xml:space="preserve"> </w:t>
      </w:r>
      <w:r w:rsidRPr="00773C2D">
        <w:t xml:space="preserve">prohlášení o tom, že jsme splnili příslušné etické požadavky týkající se nezávislosti, a informovat </w:t>
      </w:r>
      <w:r w:rsidR="00E670C9">
        <w:t>ho</w:t>
      </w:r>
      <w:r w:rsidRPr="00773C2D">
        <w:t xml:space="preserve"> o veškerých vztazích a dalších záležitostech, u nichž se lze reálně domnívat, že by mohly mít vliv na naši nezávislost, a případných souvisejících opatřeních.</w:t>
      </w:r>
      <w:r w:rsidRPr="00773C2D">
        <w:rPr>
          <w:rStyle w:val="Znakapoznpodarou"/>
        </w:rPr>
        <w:footnoteReference w:id="12"/>
      </w:r>
      <w:r w:rsidRPr="00773C2D">
        <w:t xml:space="preserve"> </w:t>
      </w:r>
    </w:p>
    <w:p w14:paraId="03EB0D87" w14:textId="77777777" w:rsidR="00257A11" w:rsidRPr="00773C2D" w:rsidRDefault="00257A11" w:rsidP="002E3A1D">
      <w:pPr>
        <w:jc w:val="both"/>
      </w:pPr>
    </w:p>
    <w:p w14:paraId="6B72A69E" w14:textId="77777777" w:rsidR="002E3A1D" w:rsidRPr="00773C2D" w:rsidRDefault="002E3A1D" w:rsidP="002E3A1D">
      <w:pPr>
        <w:jc w:val="both"/>
      </w:pPr>
      <w:r w:rsidRPr="00773C2D">
        <w:t xml:space="preserve">Dále je naší povinností vybrat na základě záležitostí, o nichž jsme informovali </w:t>
      </w:r>
      <w:r w:rsidR="000B1493" w:rsidRPr="00773C2D">
        <w:t>představenstvo, dozorčí radu a výbor pro audit</w:t>
      </w:r>
      <w:r w:rsidR="00257A11" w:rsidRPr="00773C2D">
        <w:rPr>
          <w:rStyle w:val="Znakapoznpodarou"/>
        </w:rPr>
        <w:footnoteReference w:id="13"/>
      </w:r>
      <w:r w:rsidRPr="00773C2D">
        <w:t>, ty, které jsou z hlediska auditu účetní závěrky za běžný rok nejvýznamnější, a které tudíž představují hlavní záležitosti auditu, a tyto záležitosti popsat v naší zprávě. Tato povinnost neplatí, když právní předpisy zakazují zveřejnění takové záležitosti nebo jestliže ve zcela výjimečném případě usoudíme, že bychom o dané záležitosti neměli v naší zprávě informovat, protože lze reálně očekávat, že možné negativní dopady zveřejnění převáží nad přínosem z hlediska veřejného zájmu.</w:t>
      </w:r>
      <w:r w:rsidR="00181F3B" w:rsidRPr="00773C2D">
        <w:rPr>
          <w:rStyle w:val="Znakapoznpodarou"/>
        </w:rPr>
        <w:footnoteReference w:id="14"/>
      </w:r>
    </w:p>
    <w:p w14:paraId="286EEC8B" w14:textId="77777777" w:rsidR="00542236" w:rsidRDefault="00542236" w:rsidP="00495730">
      <w:pPr>
        <w:jc w:val="both"/>
      </w:pPr>
    </w:p>
    <w:p w14:paraId="327850A2" w14:textId="77777777" w:rsidR="00495730" w:rsidRPr="00773C2D" w:rsidRDefault="00495730" w:rsidP="00495730">
      <w:pPr>
        <w:pStyle w:val="Heading32"/>
        <w:spacing w:after="120" w:line="280" w:lineRule="exact"/>
        <w:ind w:right="0"/>
        <w:rPr>
          <w:rFonts w:cs="Times New Roman"/>
          <w:sz w:val="26"/>
          <w:szCs w:val="26"/>
        </w:rPr>
      </w:pPr>
      <w:r w:rsidRPr="00773C2D">
        <w:rPr>
          <w:rFonts w:cs="Times New Roman"/>
          <w:sz w:val="26"/>
          <w:szCs w:val="26"/>
        </w:rPr>
        <w:t>Zpráva o jiných požadavcích stanovených právními předpisy</w:t>
      </w:r>
      <w:r w:rsidR="00AF0988">
        <w:rPr>
          <w:rStyle w:val="Znakapoznpodarou"/>
          <w:rFonts w:cs="Times New Roman"/>
          <w:sz w:val="26"/>
          <w:szCs w:val="26"/>
        </w:rPr>
        <w:footnoteReference w:id="15"/>
      </w:r>
    </w:p>
    <w:p w14:paraId="4CBA34A9" w14:textId="77777777" w:rsidR="00495730" w:rsidRPr="00773C2D" w:rsidRDefault="00495730" w:rsidP="00757A8A">
      <w:pPr>
        <w:pStyle w:val="Heading32"/>
        <w:spacing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773C2D">
        <w:rPr>
          <w:rFonts w:cs="Times New Roman"/>
          <w:b w:val="0"/>
          <w:sz w:val="24"/>
          <w:szCs w:val="24"/>
        </w:rPr>
        <w:t>V souladu s článkem 10 odst. 2</w:t>
      </w:r>
      <w:r w:rsidR="00B35863" w:rsidRPr="00773C2D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 xml:space="preserve">nařízení Evropského parlamentu a Rady (EU) č. 537/2014 uvádíme </w:t>
      </w:r>
      <w:r w:rsidR="00542236" w:rsidRPr="00773C2D">
        <w:rPr>
          <w:rFonts w:cs="Times New Roman"/>
          <w:b w:val="0"/>
          <w:sz w:val="24"/>
          <w:szCs w:val="24"/>
        </w:rPr>
        <w:t xml:space="preserve">v naší zprávě nezávislého auditora </w:t>
      </w:r>
      <w:r w:rsidRPr="00773C2D">
        <w:rPr>
          <w:rFonts w:cs="Times New Roman"/>
          <w:b w:val="0"/>
          <w:sz w:val="24"/>
          <w:szCs w:val="24"/>
        </w:rPr>
        <w:t>následující informace vyžadované nad rámec mezinárodních standardů</w:t>
      </w:r>
      <w:r w:rsidR="005D336A" w:rsidRPr="00773C2D">
        <w:rPr>
          <w:rFonts w:cs="Times New Roman"/>
          <w:b w:val="0"/>
          <w:sz w:val="24"/>
          <w:szCs w:val="24"/>
        </w:rPr>
        <w:t xml:space="preserve"> pro audit:</w:t>
      </w:r>
    </w:p>
    <w:p w14:paraId="1E83211F" w14:textId="77777777" w:rsidR="00C7594C" w:rsidRPr="00773C2D" w:rsidRDefault="00542236" w:rsidP="00B35863">
      <w:pPr>
        <w:pStyle w:val="Heading32"/>
        <w:spacing w:after="60" w:line="280" w:lineRule="exact"/>
        <w:ind w:right="0"/>
        <w:rPr>
          <w:rFonts w:cs="Times New Roman"/>
          <w:b w:val="0"/>
          <w:i/>
          <w:sz w:val="24"/>
          <w:szCs w:val="24"/>
        </w:rPr>
      </w:pPr>
      <w:r w:rsidRPr="00773C2D">
        <w:rPr>
          <w:rFonts w:cs="Times New Roman"/>
          <w:b w:val="0"/>
          <w:i/>
          <w:sz w:val="24"/>
          <w:szCs w:val="24"/>
        </w:rPr>
        <w:t>Určení</w:t>
      </w:r>
      <w:r w:rsidR="00C7594C" w:rsidRPr="00773C2D">
        <w:rPr>
          <w:rFonts w:cs="Times New Roman"/>
          <w:b w:val="0"/>
          <w:i/>
          <w:sz w:val="24"/>
          <w:szCs w:val="24"/>
        </w:rPr>
        <w:t xml:space="preserve"> auditora</w:t>
      </w:r>
      <w:r w:rsidRPr="00773C2D">
        <w:rPr>
          <w:rFonts w:cs="Times New Roman"/>
          <w:b w:val="0"/>
          <w:i/>
          <w:sz w:val="24"/>
          <w:szCs w:val="24"/>
        </w:rPr>
        <w:t xml:space="preserve"> a délka provádění auditu</w:t>
      </w:r>
    </w:p>
    <w:p w14:paraId="279A610E" w14:textId="77777777" w:rsidR="00495730" w:rsidRPr="00773C2D" w:rsidRDefault="00C7594C" w:rsidP="00757A8A">
      <w:pPr>
        <w:pStyle w:val="Heading32"/>
        <w:spacing w:before="0"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773C2D">
        <w:rPr>
          <w:rFonts w:cs="Times New Roman"/>
          <w:b w:val="0"/>
          <w:sz w:val="24"/>
          <w:szCs w:val="24"/>
        </w:rPr>
        <w:t xml:space="preserve">Auditorem </w:t>
      </w:r>
      <w:r w:rsidR="007C575A" w:rsidRPr="00773C2D">
        <w:rPr>
          <w:rFonts w:cs="Times New Roman"/>
          <w:b w:val="0"/>
          <w:sz w:val="24"/>
          <w:szCs w:val="24"/>
        </w:rPr>
        <w:t>Společnost</w:t>
      </w:r>
      <w:r w:rsidRPr="00773C2D">
        <w:rPr>
          <w:rFonts w:cs="Times New Roman"/>
          <w:b w:val="0"/>
          <w:sz w:val="24"/>
          <w:szCs w:val="24"/>
        </w:rPr>
        <w:t xml:space="preserve">i </w:t>
      </w:r>
      <w:r w:rsidR="00542236" w:rsidRPr="00773C2D">
        <w:rPr>
          <w:rFonts w:cs="Times New Roman"/>
          <w:b w:val="0"/>
          <w:sz w:val="24"/>
          <w:szCs w:val="24"/>
        </w:rPr>
        <w:t xml:space="preserve">nás </w:t>
      </w:r>
      <w:r w:rsidRPr="00773C2D">
        <w:rPr>
          <w:rFonts w:cs="Times New Roman"/>
          <w:b w:val="0"/>
          <w:sz w:val="24"/>
          <w:szCs w:val="24"/>
        </w:rPr>
        <w:t>dne X.</w:t>
      </w:r>
      <w:r w:rsidR="000D576B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>X.</w:t>
      </w:r>
      <w:r w:rsidR="00E670C9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 xml:space="preserve">2XXX </w:t>
      </w:r>
      <w:r w:rsidR="00542236" w:rsidRPr="00773C2D">
        <w:rPr>
          <w:rFonts w:cs="Times New Roman"/>
          <w:b w:val="0"/>
          <w:sz w:val="24"/>
          <w:szCs w:val="24"/>
        </w:rPr>
        <w:t xml:space="preserve">určila </w:t>
      </w:r>
      <w:r w:rsidR="00495730" w:rsidRPr="00773C2D">
        <w:rPr>
          <w:rFonts w:cs="Times New Roman"/>
          <w:b w:val="0"/>
          <w:sz w:val="24"/>
          <w:szCs w:val="24"/>
        </w:rPr>
        <w:t>valn</w:t>
      </w:r>
      <w:r w:rsidR="00542236" w:rsidRPr="00773C2D">
        <w:rPr>
          <w:rFonts w:cs="Times New Roman"/>
          <w:b w:val="0"/>
          <w:sz w:val="24"/>
          <w:szCs w:val="24"/>
        </w:rPr>
        <w:t>á</w:t>
      </w:r>
      <w:r w:rsidR="00495730" w:rsidRPr="00773C2D">
        <w:rPr>
          <w:rFonts w:cs="Times New Roman"/>
          <w:b w:val="0"/>
          <w:sz w:val="24"/>
          <w:szCs w:val="24"/>
        </w:rPr>
        <w:t xml:space="preserve"> hromad</w:t>
      </w:r>
      <w:r w:rsidR="00542236" w:rsidRPr="00773C2D">
        <w:rPr>
          <w:rFonts w:cs="Times New Roman"/>
          <w:b w:val="0"/>
          <w:sz w:val="24"/>
          <w:szCs w:val="24"/>
        </w:rPr>
        <w:t>a</w:t>
      </w:r>
      <w:r w:rsidR="00495730" w:rsidRPr="00773C2D">
        <w:rPr>
          <w:rFonts w:cs="Times New Roman"/>
          <w:b w:val="0"/>
          <w:sz w:val="24"/>
          <w:szCs w:val="24"/>
        </w:rPr>
        <w:t xml:space="preserve"> </w:t>
      </w:r>
      <w:r w:rsidR="007C575A" w:rsidRPr="00773C2D">
        <w:rPr>
          <w:rFonts w:cs="Times New Roman"/>
          <w:b w:val="0"/>
          <w:sz w:val="24"/>
          <w:szCs w:val="24"/>
        </w:rPr>
        <w:t>Společnost</w:t>
      </w:r>
      <w:r w:rsidR="00495730" w:rsidRPr="00773C2D">
        <w:rPr>
          <w:rFonts w:cs="Times New Roman"/>
          <w:b w:val="0"/>
          <w:sz w:val="24"/>
          <w:szCs w:val="24"/>
        </w:rPr>
        <w:t>i</w:t>
      </w:r>
      <w:r w:rsidR="00542236" w:rsidRPr="00773C2D">
        <w:rPr>
          <w:rFonts w:cs="Times New Roman"/>
          <w:b w:val="0"/>
          <w:sz w:val="24"/>
          <w:szCs w:val="24"/>
        </w:rPr>
        <w:t>.</w:t>
      </w:r>
      <w:r w:rsidR="00495730" w:rsidRPr="00773C2D">
        <w:rPr>
          <w:rFonts w:cs="Times New Roman"/>
          <w:b w:val="0"/>
          <w:sz w:val="24"/>
          <w:szCs w:val="24"/>
        </w:rPr>
        <w:t xml:space="preserve"> </w:t>
      </w:r>
      <w:r w:rsidRPr="00773C2D">
        <w:rPr>
          <w:rFonts w:cs="Times New Roman"/>
          <w:b w:val="0"/>
          <w:sz w:val="24"/>
          <w:szCs w:val="24"/>
        </w:rPr>
        <w:t xml:space="preserve">Auditorem </w:t>
      </w:r>
      <w:r w:rsidR="007C575A" w:rsidRPr="00773C2D">
        <w:rPr>
          <w:rFonts w:cs="Times New Roman"/>
          <w:b w:val="0"/>
          <w:sz w:val="24"/>
          <w:szCs w:val="24"/>
        </w:rPr>
        <w:t>Společnost</w:t>
      </w:r>
      <w:r w:rsidRPr="00773C2D">
        <w:rPr>
          <w:rFonts w:cs="Times New Roman"/>
          <w:b w:val="0"/>
          <w:sz w:val="24"/>
          <w:szCs w:val="24"/>
        </w:rPr>
        <w:t>i jsme nepřetržitě X let</w:t>
      </w:r>
      <w:r w:rsidR="00495730" w:rsidRPr="00773C2D">
        <w:rPr>
          <w:rFonts w:cs="Times New Roman"/>
          <w:b w:val="0"/>
          <w:sz w:val="24"/>
          <w:szCs w:val="24"/>
        </w:rPr>
        <w:t>.</w:t>
      </w:r>
    </w:p>
    <w:p w14:paraId="688A11CD" w14:textId="77777777" w:rsidR="00AA0218" w:rsidRPr="00773C2D" w:rsidRDefault="00AA0218" w:rsidP="00B35863">
      <w:pPr>
        <w:pStyle w:val="Heading32"/>
        <w:spacing w:after="60" w:line="280" w:lineRule="exact"/>
        <w:ind w:right="0"/>
        <w:rPr>
          <w:rFonts w:cs="Times New Roman"/>
          <w:b w:val="0"/>
          <w:i/>
          <w:sz w:val="24"/>
          <w:szCs w:val="24"/>
        </w:rPr>
      </w:pPr>
      <w:r w:rsidRPr="00773C2D">
        <w:rPr>
          <w:rFonts w:cs="Times New Roman"/>
          <w:b w:val="0"/>
          <w:i/>
          <w:sz w:val="24"/>
          <w:szCs w:val="24"/>
        </w:rPr>
        <w:t>Soulad s</w:t>
      </w:r>
      <w:r w:rsidR="007C575A" w:rsidRPr="00773C2D">
        <w:rPr>
          <w:rFonts w:cs="Times New Roman"/>
          <w:b w:val="0"/>
          <w:i/>
          <w:sz w:val="24"/>
          <w:szCs w:val="24"/>
        </w:rPr>
        <w:t xml:space="preserve"> dodatečnou</w:t>
      </w:r>
      <w:r w:rsidRPr="00773C2D">
        <w:rPr>
          <w:rFonts w:cs="Times New Roman"/>
          <w:b w:val="0"/>
          <w:i/>
          <w:sz w:val="24"/>
          <w:szCs w:val="24"/>
        </w:rPr>
        <w:t xml:space="preserve"> zprávou pro výbor pro audit</w:t>
      </w:r>
    </w:p>
    <w:p w14:paraId="13D9DCC3" w14:textId="77777777" w:rsidR="00495730" w:rsidRPr="003D4551" w:rsidRDefault="00495730" w:rsidP="003D4551">
      <w:pPr>
        <w:pStyle w:val="Heading32"/>
        <w:spacing w:before="0"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3D4551">
        <w:rPr>
          <w:rFonts w:cs="Times New Roman"/>
          <w:b w:val="0"/>
          <w:sz w:val="24"/>
          <w:szCs w:val="24"/>
        </w:rPr>
        <w:t xml:space="preserve">Potvrzujeme, že </w:t>
      </w:r>
      <w:r w:rsidR="005C2834" w:rsidRPr="003D4551">
        <w:rPr>
          <w:rFonts w:cs="Times New Roman"/>
          <w:b w:val="0"/>
          <w:sz w:val="24"/>
          <w:szCs w:val="24"/>
        </w:rPr>
        <w:t xml:space="preserve">náš </w:t>
      </w:r>
      <w:r w:rsidRPr="003D4551">
        <w:rPr>
          <w:rFonts w:cs="Times New Roman"/>
          <w:b w:val="0"/>
          <w:sz w:val="24"/>
          <w:szCs w:val="24"/>
        </w:rPr>
        <w:t xml:space="preserve">výrok </w:t>
      </w:r>
      <w:r w:rsidR="005C2834" w:rsidRPr="003D4551">
        <w:rPr>
          <w:rFonts w:cs="Times New Roman"/>
          <w:b w:val="0"/>
          <w:sz w:val="24"/>
          <w:szCs w:val="24"/>
        </w:rPr>
        <w:t xml:space="preserve">k účetní závěrce uvedený v této zprávě je v souladu </w:t>
      </w:r>
      <w:r w:rsidRPr="003D4551">
        <w:rPr>
          <w:rFonts w:cs="Times New Roman"/>
          <w:b w:val="0"/>
          <w:sz w:val="24"/>
          <w:szCs w:val="24"/>
        </w:rPr>
        <w:t>s</w:t>
      </w:r>
      <w:r w:rsidR="00B35863" w:rsidRPr="003D4551">
        <w:rPr>
          <w:rFonts w:cs="Times New Roman"/>
          <w:b w:val="0"/>
          <w:sz w:val="24"/>
          <w:szCs w:val="24"/>
        </w:rPr>
        <w:t xml:space="preserve"> naší </w:t>
      </w:r>
      <w:r w:rsidR="00193970" w:rsidRPr="003D4551">
        <w:rPr>
          <w:rFonts w:cs="Times New Roman"/>
          <w:b w:val="0"/>
          <w:sz w:val="24"/>
          <w:szCs w:val="24"/>
        </w:rPr>
        <w:t>dodatečn</w:t>
      </w:r>
      <w:r w:rsidR="007C575A" w:rsidRPr="003D4551">
        <w:rPr>
          <w:rFonts w:cs="Times New Roman"/>
          <w:b w:val="0"/>
          <w:sz w:val="24"/>
          <w:szCs w:val="24"/>
        </w:rPr>
        <w:t>ou</w:t>
      </w:r>
      <w:r w:rsidR="00193970" w:rsidRPr="003D4551">
        <w:rPr>
          <w:rFonts w:cs="Times New Roman"/>
          <w:b w:val="0"/>
          <w:sz w:val="24"/>
          <w:szCs w:val="24"/>
        </w:rPr>
        <w:t xml:space="preserve"> </w:t>
      </w:r>
      <w:r w:rsidR="00B35863" w:rsidRPr="003D4551">
        <w:rPr>
          <w:rFonts w:cs="Times New Roman"/>
          <w:b w:val="0"/>
          <w:sz w:val="24"/>
          <w:szCs w:val="24"/>
        </w:rPr>
        <w:t xml:space="preserve">zprávou pro </w:t>
      </w:r>
      <w:r w:rsidRPr="003D4551">
        <w:rPr>
          <w:rFonts w:cs="Times New Roman"/>
          <w:b w:val="0"/>
          <w:sz w:val="24"/>
          <w:szCs w:val="24"/>
        </w:rPr>
        <w:t>výbor pro audit</w:t>
      </w:r>
      <w:r w:rsidR="005C2834" w:rsidRPr="003D4551">
        <w:rPr>
          <w:rFonts w:cs="Times New Roman"/>
          <w:b w:val="0"/>
          <w:sz w:val="24"/>
          <w:szCs w:val="24"/>
        </w:rPr>
        <w:t xml:space="preserve"> </w:t>
      </w:r>
      <w:r w:rsidR="007C575A" w:rsidRPr="003D4551">
        <w:rPr>
          <w:rFonts w:cs="Times New Roman"/>
          <w:b w:val="0"/>
          <w:sz w:val="24"/>
          <w:szCs w:val="24"/>
        </w:rPr>
        <w:t>Společnost</w:t>
      </w:r>
      <w:r w:rsidR="005C2834" w:rsidRPr="003D4551">
        <w:rPr>
          <w:rFonts w:cs="Times New Roman"/>
          <w:b w:val="0"/>
          <w:sz w:val="24"/>
          <w:szCs w:val="24"/>
        </w:rPr>
        <w:t>i</w:t>
      </w:r>
      <w:r w:rsidR="00B35863" w:rsidRPr="003D4551">
        <w:rPr>
          <w:rFonts w:cs="Times New Roman"/>
          <w:b w:val="0"/>
          <w:sz w:val="24"/>
          <w:szCs w:val="24"/>
        </w:rPr>
        <w:t xml:space="preserve">, kterou jsme </w:t>
      </w:r>
      <w:r w:rsidR="00542236" w:rsidRPr="003D4551">
        <w:rPr>
          <w:rFonts w:cs="Times New Roman"/>
          <w:b w:val="0"/>
          <w:sz w:val="24"/>
          <w:szCs w:val="24"/>
        </w:rPr>
        <w:t xml:space="preserve">dne X. X. 20X1 </w:t>
      </w:r>
      <w:r w:rsidR="00B35863" w:rsidRPr="003D4551">
        <w:rPr>
          <w:rFonts w:cs="Times New Roman"/>
          <w:b w:val="0"/>
          <w:sz w:val="24"/>
          <w:szCs w:val="24"/>
        </w:rPr>
        <w:t>vyhotovili</w:t>
      </w:r>
      <w:r w:rsidR="005C2834" w:rsidRPr="003D4551">
        <w:rPr>
          <w:rFonts w:cs="Times New Roman"/>
          <w:b w:val="0"/>
          <w:sz w:val="24"/>
          <w:szCs w:val="24"/>
        </w:rPr>
        <w:t xml:space="preserve"> </w:t>
      </w:r>
      <w:r w:rsidRPr="003D4551">
        <w:rPr>
          <w:rFonts w:cs="Times New Roman"/>
          <w:b w:val="0"/>
          <w:sz w:val="24"/>
          <w:szCs w:val="24"/>
        </w:rPr>
        <w:t>dle článku 11 nařízení Evropského parlamentu a Rady (EU) č. 537/2014.</w:t>
      </w:r>
    </w:p>
    <w:p w14:paraId="27F6DEE9" w14:textId="77777777" w:rsidR="005C2834" w:rsidRPr="00773C2D" w:rsidRDefault="00167A7B" w:rsidP="00B35863">
      <w:pPr>
        <w:pStyle w:val="Heading32"/>
        <w:spacing w:after="60" w:line="280" w:lineRule="exact"/>
        <w:ind w:right="0"/>
        <w:rPr>
          <w:rFonts w:cs="Times New Roman"/>
          <w:b w:val="0"/>
          <w:i/>
          <w:sz w:val="24"/>
          <w:szCs w:val="24"/>
        </w:rPr>
      </w:pPr>
      <w:r w:rsidRPr="00773C2D">
        <w:rPr>
          <w:rFonts w:cs="Times New Roman"/>
          <w:b w:val="0"/>
          <w:i/>
          <w:sz w:val="24"/>
          <w:szCs w:val="24"/>
        </w:rPr>
        <w:t>Poskytování</w:t>
      </w:r>
      <w:r w:rsidR="005C2834" w:rsidRPr="00773C2D">
        <w:rPr>
          <w:rFonts w:cs="Times New Roman"/>
          <w:b w:val="0"/>
          <w:i/>
          <w:sz w:val="24"/>
          <w:szCs w:val="24"/>
        </w:rPr>
        <w:t xml:space="preserve"> </w:t>
      </w:r>
      <w:proofErr w:type="spellStart"/>
      <w:r w:rsidR="005C2834" w:rsidRPr="00773C2D">
        <w:rPr>
          <w:rFonts w:cs="Times New Roman"/>
          <w:b w:val="0"/>
          <w:i/>
          <w:sz w:val="24"/>
          <w:szCs w:val="24"/>
        </w:rPr>
        <w:t>neauditorsk</w:t>
      </w:r>
      <w:r w:rsidRPr="00773C2D">
        <w:rPr>
          <w:rFonts w:cs="Times New Roman"/>
          <w:b w:val="0"/>
          <w:i/>
          <w:sz w:val="24"/>
          <w:szCs w:val="24"/>
        </w:rPr>
        <w:t>ých</w:t>
      </w:r>
      <w:proofErr w:type="spellEnd"/>
      <w:r w:rsidR="005C2834" w:rsidRPr="00773C2D">
        <w:rPr>
          <w:rFonts w:cs="Times New Roman"/>
          <w:b w:val="0"/>
          <w:i/>
          <w:sz w:val="24"/>
          <w:szCs w:val="24"/>
        </w:rPr>
        <w:t xml:space="preserve"> služ</w:t>
      </w:r>
      <w:r w:rsidRPr="00773C2D">
        <w:rPr>
          <w:rFonts w:cs="Times New Roman"/>
          <w:b w:val="0"/>
          <w:i/>
          <w:sz w:val="24"/>
          <w:szCs w:val="24"/>
        </w:rPr>
        <w:t>e</w:t>
      </w:r>
      <w:r w:rsidR="005C2834" w:rsidRPr="00773C2D">
        <w:rPr>
          <w:rFonts w:cs="Times New Roman"/>
          <w:b w:val="0"/>
          <w:i/>
          <w:sz w:val="24"/>
          <w:szCs w:val="24"/>
        </w:rPr>
        <w:t>b</w:t>
      </w:r>
    </w:p>
    <w:p w14:paraId="3A55C4A1" w14:textId="77777777" w:rsidR="00757A8A" w:rsidRPr="00757A8A" w:rsidRDefault="00757A8A" w:rsidP="003D4551">
      <w:pPr>
        <w:pStyle w:val="Heading32"/>
        <w:spacing w:before="0" w:after="200" w:line="280" w:lineRule="exact"/>
        <w:ind w:right="0"/>
        <w:rPr>
          <w:rFonts w:cs="Times New Roman"/>
          <w:b w:val="0"/>
          <w:sz w:val="24"/>
          <w:szCs w:val="24"/>
        </w:rPr>
      </w:pPr>
      <w:r w:rsidRPr="00757A8A">
        <w:rPr>
          <w:rFonts w:cs="Times New Roman"/>
          <w:b w:val="0"/>
          <w:sz w:val="24"/>
          <w:szCs w:val="24"/>
        </w:rPr>
        <w:t>Prohlašujeme, že nebyly poskytnuty žádné zakázané služby uvedené v čl. 5 nařízení Evropského parlamentu a Rady (EU) č. 537/2014.</w:t>
      </w:r>
    </w:p>
    <w:p w14:paraId="076516CE" w14:textId="4C61C9F5" w:rsidR="00757A8A" w:rsidRPr="00757A8A" w:rsidRDefault="00757A8A" w:rsidP="00D55001">
      <w:pPr>
        <w:spacing w:after="240"/>
        <w:jc w:val="both"/>
        <w:rPr>
          <w:rFonts w:ascii="StempelGaramondLTPro-Roman" w:hAnsi="StempelGaramondLTPro-Roman" w:cs="StempelGaramondLTPro-Roman"/>
        </w:rPr>
      </w:pPr>
      <w:r w:rsidRPr="00757A8A">
        <w:rPr>
          <w:rFonts w:ascii="StempelGaramondLTPro-Roman" w:hAnsi="StempelGaramondLTPro-Roman" w:cs="StempelGaramondLTPro-Roman"/>
        </w:rPr>
        <w:t xml:space="preserve">Společnosti a podnikům, které ovládá, jsme kromě povinného auditu poskytli následující služby neuvedené v příloze účetní </w:t>
      </w:r>
      <w:r>
        <w:rPr>
          <w:rFonts w:ascii="StempelGaramondLTPro-Roman" w:hAnsi="StempelGaramondLTPro-Roman" w:cs="StempelGaramondLTPro-Roman"/>
        </w:rPr>
        <w:t xml:space="preserve">závěrky nebo ve výroční zprávě: </w:t>
      </w:r>
      <w:r>
        <w:rPr>
          <w:rStyle w:val="Znakapoznpodarou"/>
          <w:rFonts w:ascii="StempelGaramondLTPro-Roman" w:hAnsi="StempelGaramondLTPro-Roman" w:cs="StempelGaramondLTPro-Roman"/>
        </w:rPr>
        <w:footnoteReference w:id="16"/>
      </w:r>
    </w:p>
    <w:p w14:paraId="4C2886CC" w14:textId="49C9FC0B" w:rsidR="00757A8A" w:rsidRPr="00757A8A" w:rsidRDefault="007B7C66" w:rsidP="00757A8A">
      <w:pPr>
        <w:jc w:val="both"/>
        <w:rPr>
          <w:rFonts w:ascii="StempelGaramondLTPro-Roman" w:hAnsi="StempelGaramondLTPro-Roman" w:cs="StempelGaramondLTPro-Roman"/>
        </w:rPr>
      </w:pPr>
      <w:r>
        <w:rPr>
          <w:rFonts w:ascii="StempelGaramondLTPro-Roman" w:hAnsi="StempelGaramondLTPro-Roman" w:cs="StempelGaramondLTPro-Roman"/>
        </w:rPr>
        <w:t>Název</w:t>
      </w:r>
      <w:r w:rsidR="00757A8A" w:rsidRPr="00757A8A">
        <w:rPr>
          <w:rFonts w:ascii="StempelGaramondLTPro-Roman" w:hAnsi="StempelGaramondLTPro-Roman" w:cs="StempelGaramondLTPro-Roman"/>
        </w:rPr>
        <w:tab/>
      </w:r>
      <w:r w:rsidR="00757A8A" w:rsidRPr="00757A8A">
        <w:rPr>
          <w:rFonts w:ascii="StempelGaramondLTPro-Roman" w:hAnsi="StempelGaramondLTPro-Roman" w:cs="StempelGaramondLTPro-Roman"/>
        </w:rPr>
        <w:tab/>
      </w:r>
      <w:r w:rsidR="00757A8A">
        <w:rPr>
          <w:rFonts w:ascii="StempelGaramondLTPro-Roman" w:hAnsi="StempelGaramondLTPro-Roman" w:cs="StempelGaramondLTPro-Roman"/>
        </w:rPr>
        <w:tab/>
        <w:t xml:space="preserve">      </w:t>
      </w:r>
      <w:r>
        <w:rPr>
          <w:rFonts w:ascii="StempelGaramondLTPro-Roman" w:hAnsi="StempelGaramondLTPro-Roman" w:cs="StempelGaramondLTPro-Roman"/>
        </w:rPr>
        <w:tab/>
      </w:r>
      <w:r>
        <w:rPr>
          <w:rFonts w:ascii="StempelGaramondLTPro-Roman" w:hAnsi="StempelGaramondLTPro-Roman" w:cs="StempelGaramondLTPro-Roman"/>
        </w:rPr>
        <w:tab/>
      </w:r>
      <w:r>
        <w:rPr>
          <w:rFonts w:ascii="StempelGaramondLTPro-Roman" w:hAnsi="StempelGaramondLTPro-Roman" w:cs="StempelGaramondLTPro-Roman"/>
        </w:rPr>
        <w:tab/>
        <w:t xml:space="preserve">      </w:t>
      </w:r>
      <w:r w:rsidR="00757A8A" w:rsidRPr="00757A8A">
        <w:rPr>
          <w:rFonts w:ascii="StempelGaramondLTPro-Roman" w:hAnsi="StempelGaramondLTPro-Roman" w:cs="StempelGaramondLTPro-Roman"/>
        </w:rPr>
        <w:t>Informace o poskytnutých službách</w:t>
      </w:r>
    </w:p>
    <w:p w14:paraId="49C80F29" w14:textId="24CB4464" w:rsidR="00757A8A" w:rsidRDefault="00757A8A" w:rsidP="00757A8A">
      <w:pPr>
        <w:jc w:val="both"/>
        <w:rPr>
          <w:rFonts w:ascii="StempelGaramondLTPro-Roman" w:hAnsi="StempelGaramondLTPro-Roman" w:cs="StempelGaramondLTPro-Roman"/>
        </w:rPr>
      </w:pPr>
      <w:r w:rsidRPr="00757A8A">
        <w:rPr>
          <w:rFonts w:ascii="StempelGaramondLTPro-Roman" w:hAnsi="StempelGaramondLTPro-Roman" w:cs="StempelGaramondLTPro-Roman"/>
        </w:rPr>
        <w:t>(specifikujte)</w:t>
      </w:r>
      <w:r w:rsidRPr="00757A8A">
        <w:rPr>
          <w:rFonts w:ascii="StempelGaramondLTPro-Roman" w:hAnsi="StempelGaramondLTPro-Roman" w:cs="StempelGaramondLTPro-Roman"/>
        </w:rPr>
        <w:tab/>
      </w:r>
      <w:r w:rsidRPr="00757A8A">
        <w:rPr>
          <w:rFonts w:ascii="StempelGaramondLTPro-Roman" w:hAnsi="StempelGaramondLTPro-Roman" w:cs="StempelGaramondLTPro-Roman"/>
        </w:rPr>
        <w:tab/>
      </w:r>
      <w:r w:rsidRPr="00757A8A">
        <w:rPr>
          <w:rFonts w:ascii="StempelGaramondLTPro-Roman" w:hAnsi="StempelGaramondLTPro-Roman" w:cs="StempelGaramondLTPro-Roman"/>
        </w:rPr>
        <w:tab/>
      </w:r>
      <w:r w:rsidRPr="00757A8A">
        <w:rPr>
          <w:rFonts w:ascii="StempelGaramondLTPro-Roman" w:hAnsi="StempelGaramondLTPro-Roman" w:cs="StempelGaramondLTPro-Roman"/>
        </w:rPr>
        <w:tab/>
      </w:r>
      <w:r>
        <w:rPr>
          <w:rFonts w:ascii="StempelGaramondLTPro-Roman" w:hAnsi="StempelGaramondLTPro-Roman" w:cs="StempelGaramondLTPro-Roman"/>
        </w:rPr>
        <w:tab/>
        <w:t xml:space="preserve">   </w:t>
      </w:r>
      <w:r w:rsidR="00AC2EF5">
        <w:rPr>
          <w:rFonts w:ascii="StempelGaramondLTPro-Roman" w:hAnsi="StempelGaramondLTPro-Roman" w:cs="StempelGaramondLTPro-Roman"/>
        </w:rPr>
        <w:t xml:space="preserve">  (</w:t>
      </w:r>
      <w:r w:rsidRPr="00757A8A">
        <w:rPr>
          <w:rFonts w:ascii="StempelGaramondLTPro-Roman" w:hAnsi="StempelGaramondLTPro-Roman" w:cs="StempelGaramondLTPro-Roman"/>
        </w:rPr>
        <w:t>specifikujte)</w:t>
      </w:r>
    </w:p>
    <w:p w14:paraId="4A881539" w14:textId="77777777" w:rsidR="00757A8A" w:rsidRDefault="00757A8A" w:rsidP="00757A8A">
      <w:pPr>
        <w:jc w:val="both"/>
        <w:rPr>
          <w:rFonts w:ascii="StempelGaramondLTPro-Roman" w:hAnsi="StempelGaramondLTPro-Roman" w:cs="StempelGaramondLTPro-Roman"/>
        </w:rPr>
      </w:pPr>
    </w:p>
    <w:p w14:paraId="25BAE0F1" w14:textId="77777777" w:rsidR="003D4551" w:rsidRPr="00757A8A" w:rsidRDefault="003D4551" w:rsidP="00757A8A">
      <w:pPr>
        <w:jc w:val="both"/>
        <w:rPr>
          <w:rFonts w:ascii="StempelGaramondLTPro-Roman" w:hAnsi="StempelGaramondLTPro-Roman" w:cs="StempelGaramondLTPro-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63241A" w:rsidRPr="00773C2D" w14:paraId="19F26E60" w14:textId="77777777" w:rsidTr="00997A5A">
        <w:tc>
          <w:tcPr>
            <w:tcW w:w="4606" w:type="dxa"/>
          </w:tcPr>
          <w:p w14:paraId="23CD884D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Pr="00773C2D">
              <w:rPr>
                <w:i/>
              </w:rPr>
              <w:t>V případě auditorské společnosti:</w:t>
            </w:r>
            <w:r w:rsidRPr="00773C2D">
              <w:t>]</w:t>
            </w:r>
          </w:p>
          <w:p w14:paraId="1EF2B3C3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E705BF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[Název]</w:t>
            </w:r>
          </w:p>
          <w:p w14:paraId="3CD45C49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[Adresa sídla]</w:t>
            </w:r>
            <w:r w:rsidRPr="00773C2D">
              <w:tab/>
            </w:r>
          </w:p>
          <w:p w14:paraId="39E52593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 xml:space="preserve">[Evidenční číslo  </w:t>
            </w:r>
            <w:r w:rsidRPr="00773C2D">
              <w:tab/>
            </w:r>
          </w:p>
          <w:p w14:paraId="26DF561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auditorské společnosti]</w:t>
            </w:r>
          </w:p>
          <w:p w14:paraId="60F57F99" w14:textId="77777777" w:rsidR="0063241A" w:rsidRPr="00773C2D" w:rsidRDefault="0063241A" w:rsidP="00B978B0">
            <w:pPr>
              <w:widowControl w:val="0"/>
              <w:autoSpaceDE w:val="0"/>
              <w:autoSpaceDN w:val="0"/>
              <w:adjustRightInd w:val="0"/>
            </w:pPr>
            <w:r w:rsidRPr="00773C2D">
              <w:t>[Jména statutárních auditorů, kteří byli auditorskou společností určeni jako odpovědní za provedení auditu jménem auditorské společnosti včetně jejich označení</w:t>
            </w:r>
            <w:r w:rsidR="00997A5A" w:rsidRPr="00773C2D">
              <w:rPr>
                <w:rStyle w:val="Znakapoznpodarou"/>
              </w:rPr>
              <w:footnoteReference w:id="17"/>
            </w:r>
            <w:r w:rsidRPr="00773C2D">
              <w:t xml:space="preserve"> jako „statutární auditoři odpovědní za audit, na jehož základě byla zpracována tato zpráva nezávislého auditora“]</w:t>
            </w:r>
          </w:p>
          <w:p w14:paraId="452CFDFA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</w:t>
            </w:r>
            <w:r w:rsidR="001D5370">
              <w:t>Evidenční</w:t>
            </w:r>
            <w:r w:rsidRPr="00773C2D">
              <w:t xml:space="preserve"> čísla statutárních auditorů]</w:t>
            </w:r>
            <w:r w:rsidRPr="00773C2D">
              <w:tab/>
            </w:r>
          </w:p>
          <w:p w14:paraId="6A184126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3F884D22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03F4A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</w:pPr>
            <w:r w:rsidRPr="00773C2D">
              <w:t>[Podpisy statutárních auditorů, kteří byli auditorskou společností určeni jako odpovědní za provedení auditu jménem auditorské společnosti]</w:t>
            </w:r>
          </w:p>
        </w:tc>
        <w:tc>
          <w:tcPr>
            <w:tcW w:w="4606" w:type="dxa"/>
          </w:tcPr>
          <w:p w14:paraId="11CCB82E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>[</w:t>
            </w:r>
            <w:r w:rsidRPr="00773C2D">
              <w:rPr>
                <w:i/>
              </w:rPr>
              <w:t>V případě statutárního auditora:</w:t>
            </w:r>
            <w:r w:rsidRPr="00773C2D">
              <w:t>]</w:t>
            </w:r>
          </w:p>
          <w:p w14:paraId="75C2819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1F1951B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[Jméno auditora]</w:t>
            </w:r>
          </w:p>
          <w:p w14:paraId="6BF20958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 xml:space="preserve">[Adresa sídla] </w:t>
            </w:r>
          </w:p>
          <w:p w14:paraId="3F5D5B52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lastRenderedPageBreak/>
              <w:t>[Evidenční číslo auditora]</w:t>
            </w:r>
          </w:p>
          <w:p w14:paraId="7B85376C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0AC13E2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83A370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21CD76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D41689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716A78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0E8297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B4C495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5E646EC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3B8775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C83E11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  <w:r w:rsidRPr="00773C2D">
              <w:t>[Datum zprávy auditora]</w:t>
            </w:r>
          </w:p>
          <w:p w14:paraId="4901CC3F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055DF5" w14:textId="77777777" w:rsidR="0063241A" w:rsidRPr="00773C2D" w:rsidRDefault="0063241A" w:rsidP="00997A5A">
            <w:pPr>
              <w:widowControl w:val="0"/>
              <w:autoSpaceDE w:val="0"/>
              <w:autoSpaceDN w:val="0"/>
              <w:adjustRightInd w:val="0"/>
            </w:pPr>
            <w:r w:rsidRPr="00773C2D">
              <w:t>[Podpis auditora]</w:t>
            </w:r>
          </w:p>
        </w:tc>
      </w:tr>
    </w:tbl>
    <w:p w14:paraId="507C1325" w14:textId="5F16AD03" w:rsidR="0085649D" w:rsidRDefault="0085649D" w:rsidP="00757A8A">
      <w:pPr>
        <w:jc w:val="both"/>
        <w:rPr>
          <w:rFonts w:ascii="StempelGaramondLTPro-Roman" w:hAnsi="StempelGaramondLTPro-Roman" w:cs="StempelGaramondLTPro-Roman"/>
        </w:rPr>
      </w:pPr>
    </w:p>
    <w:sectPr w:rsidR="0085649D" w:rsidSect="0055452F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B28D" w14:textId="77777777" w:rsidR="00DF1613" w:rsidRDefault="00DF1613">
      <w:r>
        <w:separator/>
      </w:r>
    </w:p>
  </w:endnote>
  <w:endnote w:type="continuationSeparator" w:id="0">
    <w:p w14:paraId="5879AB12" w14:textId="77777777" w:rsidR="00DF1613" w:rsidRDefault="00DF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empelGaramondL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A0A5" w14:textId="2C687AE7" w:rsidR="007B6F5D" w:rsidRDefault="007B6F5D">
    <w:pPr>
      <w:pStyle w:val="Zpat"/>
    </w:pPr>
    <w:r>
      <w:tab/>
    </w:r>
    <w:r w:rsidR="00FE494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E4941">
      <w:rPr>
        <w:rStyle w:val="slostrnky"/>
      </w:rPr>
      <w:fldChar w:fldCharType="separate"/>
    </w:r>
    <w:r w:rsidR="0040459E">
      <w:rPr>
        <w:rStyle w:val="slostrnky"/>
        <w:noProof/>
      </w:rPr>
      <w:t>1</w:t>
    </w:r>
    <w:r w:rsidR="00FE4941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179D" w14:textId="77777777" w:rsidR="00DF1613" w:rsidRDefault="00DF1613">
      <w:r>
        <w:separator/>
      </w:r>
    </w:p>
  </w:footnote>
  <w:footnote w:type="continuationSeparator" w:id="0">
    <w:p w14:paraId="68B7C932" w14:textId="77777777" w:rsidR="00DF1613" w:rsidRDefault="00DF1613">
      <w:r>
        <w:continuationSeparator/>
      </w:r>
    </w:p>
  </w:footnote>
  <w:footnote w:id="1">
    <w:p w14:paraId="19E9FB1B" w14:textId="77777777" w:rsidR="007B6F5D" w:rsidRPr="00B836AD" w:rsidRDefault="007B6F5D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Nadpis „Zpráva o auditu účetní závěrky“ není třeba uvádět, pokud zpráva neobsahuje oddíl „Zpráva o jiných požadavcích stanovených právními předpisy“.</w:t>
      </w:r>
    </w:p>
  </w:footnote>
  <w:footnote w:id="2">
    <w:p w14:paraId="4052EE5C" w14:textId="77777777" w:rsidR="00AF0988" w:rsidRPr="00B978B0" w:rsidRDefault="00AF0988" w:rsidP="00B978B0">
      <w:pPr>
        <w:pStyle w:val="Textpoznpodarou"/>
        <w:jc w:val="both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Uvede se pouze, pokud účetní jednotka tyto přehledy sestavuje.</w:t>
      </w:r>
    </w:p>
  </w:footnote>
  <w:footnote w:id="3">
    <w:p w14:paraId="488F1810" w14:textId="77777777" w:rsidR="00AF0988" w:rsidRPr="00B978B0" w:rsidRDefault="00AF0988" w:rsidP="00B978B0">
      <w:pPr>
        <w:pStyle w:val="Textpoznpodarou"/>
        <w:jc w:val="both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Slovo „rok“ či „účetní období“ se považují za ekvivalentní (nejde-li o zkrácené účetní období).</w:t>
      </w:r>
    </w:p>
  </w:footnote>
  <w:footnote w:id="4">
    <w:p w14:paraId="349AF315" w14:textId="270774DE" w:rsidR="009D6E46" w:rsidRPr="00B978B0" w:rsidRDefault="009D6E46" w:rsidP="00B978B0">
      <w:pPr>
        <w:pStyle w:val="Textpoznpodarou"/>
        <w:jc w:val="both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</w:t>
      </w:r>
      <w:r w:rsidR="00314B28" w:rsidRPr="00B978B0">
        <w:rPr>
          <w:sz w:val="18"/>
          <w:szCs w:val="18"/>
        </w:rPr>
        <w:t>Odkaz na n</w:t>
      </w:r>
      <w:r w:rsidRPr="00B978B0">
        <w:rPr>
          <w:sz w:val="18"/>
          <w:szCs w:val="18"/>
        </w:rPr>
        <w:t xml:space="preserve">ařízení bude uveden pouze v případě </w:t>
      </w:r>
      <w:r w:rsidR="00F82508" w:rsidRPr="00B978B0">
        <w:rPr>
          <w:sz w:val="18"/>
          <w:szCs w:val="18"/>
        </w:rPr>
        <w:t xml:space="preserve">povinného </w:t>
      </w:r>
      <w:r w:rsidRPr="00B978B0">
        <w:rPr>
          <w:sz w:val="18"/>
          <w:szCs w:val="18"/>
        </w:rPr>
        <w:t xml:space="preserve">auditu </w:t>
      </w:r>
      <w:r w:rsidR="008561DB" w:rsidRPr="00B978B0">
        <w:rPr>
          <w:sz w:val="18"/>
          <w:szCs w:val="18"/>
        </w:rPr>
        <w:t>účetní</w:t>
      </w:r>
      <w:r w:rsidR="00DC0B44" w:rsidRPr="00B978B0">
        <w:rPr>
          <w:sz w:val="18"/>
          <w:szCs w:val="18"/>
        </w:rPr>
        <w:t>ch závěrek</w:t>
      </w:r>
      <w:r w:rsidR="008561DB" w:rsidRPr="00B978B0">
        <w:rPr>
          <w:sz w:val="18"/>
          <w:szCs w:val="18"/>
        </w:rPr>
        <w:t xml:space="preserve"> </w:t>
      </w:r>
      <w:r w:rsidRPr="00B978B0">
        <w:rPr>
          <w:sz w:val="18"/>
          <w:szCs w:val="18"/>
        </w:rPr>
        <w:t>subjekt</w:t>
      </w:r>
      <w:r w:rsidR="00DC0B44" w:rsidRPr="00B978B0">
        <w:rPr>
          <w:sz w:val="18"/>
          <w:szCs w:val="18"/>
        </w:rPr>
        <w:t>ů</w:t>
      </w:r>
      <w:r w:rsidRPr="00B978B0">
        <w:rPr>
          <w:sz w:val="18"/>
          <w:szCs w:val="18"/>
        </w:rPr>
        <w:t xml:space="preserve"> veřejného zájmu</w:t>
      </w:r>
      <w:r w:rsidR="00DC0B44" w:rsidRPr="00B978B0">
        <w:rPr>
          <w:sz w:val="18"/>
          <w:szCs w:val="18"/>
        </w:rPr>
        <w:t xml:space="preserve"> sestavených</w:t>
      </w:r>
      <w:r w:rsidR="008561DB" w:rsidRPr="00B978B0">
        <w:rPr>
          <w:sz w:val="18"/>
          <w:szCs w:val="18"/>
        </w:rPr>
        <w:t xml:space="preserve"> za období počínající 17. 6. 2016 nebo po tomto datu</w:t>
      </w:r>
      <w:r w:rsidRPr="00B978B0">
        <w:rPr>
          <w:sz w:val="18"/>
          <w:szCs w:val="18"/>
        </w:rPr>
        <w:t>.</w:t>
      </w:r>
    </w:p>
  </w:footnote>
  <w:footnote w:id="5">
    <w:p w14:paraId="376C3B3B" w14:textId="77777777" w:rsidR="000552F8" w:rsidRDefault="000552F8" w:rsidP="00B978B0">
      <w:pPr>
        <w:pStyle w:val="Textpoznpodarou"/>
        <w:jc w:val="both"/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</w:t>
      </w:r>
      <w:r w:rsidR="00584912" w:rsidRPr="00B978B0">
        <w:rPr>
          <w:sz w:val="18"/>
          <w:szCs w:val="18"/>
        </w:rPr>
        <w:t>Tento odstavec se uvádí pouze v případě povinného auditu účetních závěrek subjektů veřejného zájmu</w:t>
      </w:r>
      <w:r w:rsidR="00F82508" w:rsidRPr="00B978B0">
        <w:rPr>
          <w:sz w:val="18"/>
          <w:szCs w:val="18"/>
        </w:rPr>
        <w:t xml:space="preserve"> sestavených za období počínající 17. 6. 2016 nebo po tomto datu</w:t>
      </w:r>
      <w:r w:rsidR="00584912" w:rsidRPr="00B978B0">
        <w:rPr>
          <w:sz w:val="18"/>
          <w:szCs w:val="18"/>
        </w:rPr>
        <w:t xml:space="preserve"> a auditu účetních závěrek kotovaných společností (viz aplikační doložka k ISA 700)</w:t>
      </w:r>
      <w:r w:rsidRPr="00B978B0">
        <w:rPr>
          <w:sz w:val="18"/>
          <w:szCs w:val="18"/>
        </w:rPr>
        <w:t xml:space="preserve">, nebo pokud se tak </w:t>
      </w:r>
      <w:r w:rsidR="00584912" w:rsidRPr="00B978B0">
        <w:rPr>
          <w:sz w:val="18"/>
          <w:szCs w:val="18"/>
        </w:rPr>
        <w:t xml:space="preserve">auditor </w:t>
      </w:r>
      <w:r w:rsidRPr="00B978B0">
        <w:rPr>
          <w:sz w:val="18"/>
          <w:szCs w:val="18"/>
        </w:rPr>
        <w:t>dobrovolně rozhodne.</w:t>
      </w:r>
    </w:p>
  </w:footnote>
  <w:footnote w:id="6">
    <w:p w14:paraId="4E290EAA" w14:textId="77777777" w:rsidR="009D6E46" w:rsidRPr="00B978B0" w:rsidRDefault="009D6E46">
      <w:pPr>
        <w:pStyle w:val="Textpoznpodarou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Tento oddíl zprávy se uvádí pouze v případech, kdy tak vyžaduje ISA 720 ve znění související aplikační doložky.</w:t>
      </w:r>
    </w:p>
  </w:footnote>
  <w:footnote w:id="7">
    <w:p w14:paraId="39AE34C3" w14:textId="28AC2977" w:rsidR="00BC30E2" w:rsidRPr="00BC30E2" w:rsidRDefault="00BC30E2" w:rsidP="00BC30E2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B95ADA" w:rsidRPr="00CB34DA">
        <w:rPr>
          <w:sz w:val="18"/>
          <w:szCs w:val="18"/>
        </w:rPr>
        <w:t>Je možné vynechat, pokud účetní jednotka nemá povinnost vyhotovit a nevyhotovuje zprávu o udržitelnosti.</w:t>
      </w:r>
    </w:p>
  </w:footnote>
  <w:footnote w:id="8">
    <w:p w14:paraId="18246D7F" w14:textId="77777777" w:rsidR="000C0F6C" w:rsidRPr="00B978B0" w:rsidRDefault="000C0F6C" w:rsidP="000C0F6C">
      <w:pPr>
        <w:pStyle w:val="Textpoznpodarou"/>
        <w:rPr>
          <w:sz w:val="18"/>
          <w:szCs w:val="18"/>
        </w:rPr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Zde a následně je třeba uvést název příslušného statutárního orgánu</w:t>
      </w:r>
      <w:r w:rsidR="004E758F" w:rsidRPr="00B978B0">
        <w:rPr>
          <w:sz w:val="18"/>
          <w:szCs w:val="18"/>
        </w:rPr>
        <w:t>, případně dalších orgánů odpovědných za sestavení účetní závěrky</w:t>
      </w:r>
      <w:r w:rsidR="00935ACB" w:rsidRPr="00B978B0">
        <w:rPr>
          <w:sz w:val="18"/>
          <w:szCs w:val="18"/>
        </w:rPr>
        <w:t xml:space="preserve"> (pokud existují)</w:t>
      </w:r>
      <w:r w:rsidRPr="00B978B0">
        <w:rPr>
          <w:sz w:val="18"/>
          <w:szCs w:val="18"/>
        </w:rPr>
        <w:t>.</w:t>
      </w:r>
      <w:r w:rsidR="00314B28" w:rsidRPr="00B978B0">
        <w:rPr>
          <w:sz w:val="18"/>
          <w:szCs w:val="18"/>
        </w:rPr>
        <w:t xml:space="preserve"> </w:t>
      </w:r>
    </w:p>
  </w:footnote>
  <w:footnote w:id="9">
    <w:p w14:paraId="48895D87" w14:textId="77777777" w:rsidR="000C0F6C" w:rsidRDefault="000C0F6C" w:rsidP="000C0F6C">
      <w:pPr>
        <w:pStyle w:val="Textpoznpodarou"/>
      </w:pPr>
      <w:r w:rsidRPr="00B978B0">
        <w:rPr>
          <w:rStyle w:val="Znakapoznpodarou"/>
          <w:sz w:val="18"/>
          <w:szCs w:val="18"/>
        </w:rPr>
        <w:footnoteRef/>
      </w:r>
      <w:r w:rsidRPr="00B978B0">
        <w:rPr>
          <w:sz w:val="18"/>
          <w:szCs w:val="18"/>
        </w:rPr>
        <w:t xml:space="preserve"> </w:t>
      </w:r>
      <w:r w:rsidR="004E758F" w:rsidRPr="00B978B0">
        <w:rPr>
          <w:sz w:val="18"/>
          <w:szCs w:val="18"/>
        </w:rPr>
        <w:t>Dozorčí rada a výbor pro audit jsou orgány, které odpovídají za dohled nad procesem účetního výkaznictví. Názvy těchto orgánů (orgánu) je třeba přizpůsobit okolnostem či je vynechat, pokud ne</w:t>
      </w:r>
      <w:r w:rsidRPr="00B978B0">
        <w:rPr>
          <w:sz w:val="18"/>
          <w:szCs w:val="18"/>
        </w:rPr>
        <w:t>existují.</w:t>
      </w:r>
    </w:p>
  </w:footnote>
  <w:footnote w:id="10">
    <w:p w14:paraId="40AF1F97" w14:textId="77777777" w:rsidR="00C63492" w:rsidRPr="00B836AD" w:rsidRDefault="004E758F" w:rsidP="00C63492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Textace viz předchozí poznámka. Tento odstavec se vynechává, pokud takové orgány (orgán) neexistují.</w:t>
      </w:r>
      <w:r w:rsidR="00C63492" w:rsidRPr="00B836AD">
        <w:rPr>
          <w:sz w:val="18"/>
          <w:szCs w:val="18"/>
        </w:rPr>
        <w:t xml:space="preserve"> Před uvedením konkrétního orgánu/výboru společnosti je nutné prozkoumat jeho postavení a odpovědnost na základě právních předpisů a dále též stanov a ostatních vnitřních předpisů Společnosti. Orgán/výbor se v textu uvede v tom případě, že z výše uvedených předpisů vyplývá, že mu byla příslušná odpovědnost svěřena. Tyto skutečnosti je nutné zdokumentovat ve spise auditora.</w:t>
      </w:r>
    </w:p>
    <w:p w14:paraId="58D5ED51" w14:textId="4E3ACBF4" w:rsidR="004E758F" w:rsidRDefault="004E758F">
      <w:pPr>
        <w:pStyle w:val="Textpoznpodarou"/>
      </w:pPr>
    </w:p>
  </w:footnote>
  <w:footnote w:id="11">
    <w:p w14:paraId="21FE1E22" w14:textId="641B33A6" w:rsidR="00257A11" w:rsidRPr="00B836AD" w:rsidRDefault="00257A11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Zde se uvede relevantní okruh osob pověřených správou a řízením</w:t>
      </w:r>
      <w:r w:rsidR="00661B03" w:rsidRPr="00B836AD">
        <w:rPr>
          <w:sz w:val="18"/>
          <w:szCs w:val="18"/>
        </w:rPr>
        <w:t>, vůči kterým auditor má a plnil svoji povinnost komunikace.</w:t>
      </w:r>
    </w:p>
  </w:footnote>
  <w:footnote w:id="12">
    <w:p w14:paraId="2CD6D2CC" w14:textId="77777777" w:rsidR="00257A11" w:rsidRPr="00B836AD" w:rsidRDefault="00257A11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Tento odstavec se uvádí pouze v případě povinného auditu účetních závěrek subjektů veřejného zá</w:t>
      </w:r>
      <w:r w:rsidR="000D66CB" w:rsidRPr="00B836AD">
        <w:rPr>
          <w:sz w:val="18"/>
          <w:szCs w:val="18"/>
        </w:rPr>
        <w:t>jmu</w:t>
      </w:r>
      <w:r w:rsidR="00F82508" w:rsidRPr="00B836AD">
        <w:rPr>
          <w:sz w:val="18"/>
          <w:szCs w:val="18"/>
        </w:rPr>
        <w:t xml:space="preserve"> sestavených za období počínající 17. 6. 2016 nebo po tomto datu</w:t>
      </w:r>
      <w:r w:rsidR="000D66CB" w:rsidRPr="00B836AD">
        <w:rPr>
          <w:sz w:val="18"/>
          <w:szCs w:val="18"/>
        </w:rPr>
        <w:t xml:space="preserve"> a auditu účetních závěrek ko</w:t>
      </w:r>
      <w:r w:rsidRPr="00B836AD">
        <w:rPr>
          <w:sz w:val="18"/>
          <w:szCs w:val="18"/>
        </w:rPr>
        <w:t>tovaných společností</w:t>
      </w:r>
      <w:r w:rsidR="00314B28" w:rsidRPr="00B836AD">
        <w:rPr>
          <w:sz w:val="18"/>
          <w:szCs w:val="18"/>
        </w:rPr>
        <w:t xml:space="preserve"> (viz aplikační doložka k ISA 700)</w:t>
      </w:r>
      <w:r w:rsidRPr="00B836AD">
        <w:rPr>
          <w:sz w:val="18"/>
          <w:szCs w:val="18"/>
        </w:rPr>
        <w:t>.</w:t>
      </w:r>
    </w:p>
  </w:footnote>
  <w:footnote w:id="13">
    <w:p w14:paraId="4861AAC9" w14:textId="029960B1" w:rsidR="00257A11" w:rsidRDefault="00257A11" w:rsidP="00B836AD">
      <w:pPr>
        <w:pStyle w:val="Textpoznpodarou"/>
        <w:jc w:val="both"/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Zde se uvede relevantní okruh osob pověřených správou a řízením</w:t>
      </w:r>
      <w:r w:rsidR="00661B03" w:rsidRPr="00B836AD">
        <w:rPr>
          <w:sz w:val="18"/>
          <w:szCs w:val="18"/>
        </w:rPr>
        <w:t>, vůči kterým auditor má a plnil svoji povinnost komunikace.</w:t>
      </w:r>
    </w:p>
  </w:footnote>
  <w:footnote w:id="14">
    <w:p w14:paraId="65E1B037" w14:textId="77777777" w:rsidR="007B6F5D" w:rsidRPr="00B836AD" w:rsidRDefault="007B6F5D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Tento odstavec se uvádí pouze v případě, kdy auditor je povinen ve své zprávě uvést hlavní záležitosti auditu.</w:t>
      </w:r>
    </w:p>
  </w:footnote>
  <w:footnote w:id="15">
    <w:p w14:paraId="1E322DF6" w14:textId="511F23AB" w:rsidR="00AF0988" w:rsidRPr="00B836AD" w:rsidRDefault="00AF0988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Tuto část zprávy auditor uvádí pouze v případě </w:t>
      </w:r>
      <w:r w:rsidR="008F038C" w:rsidRPr="00B836AD">
        <w:rPr>
          <w:sz w:val="18"/>
          <w:szCs w:val="18"/>
        </w:rPr>
        <w:t>povinného auditu účetních závěrek subjektů veřejného zájmu</w:t>
      </w:r>
      <w:r w:rsidR="00F82508" w:rsidRPr="00B836AD">
        <w:rPr>
          <w:sz w:val="18"/>
          <w:szCs w:val="18"/>
        </w:rPr>
        <w:t xml:space="preserve"> sestavených za období počínající 17. 6. 2016 nebo po tomto datu.</w:t>
      </w:r>
    </w:p>
  </w:footnote>
  <w:footnote w:id="16">
    <w:p w14:paraId="5E8D87C1" w14:textId="67DF0B74" w:rsidR="00757A8A" w:rsidRPr="00B836AD" w:rsidRDefault="00757A8A" w:rsidP="00B836AD">
      <w:pPr>
        <w:pStyle w:val="Textpoznpodarou"/>
        <w:jc w:val="both"/>
        <w:rPr>
          <w:sz w:val="18"/>
          <w:szCs w:val="18"/>
        </w:rPr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Tento odstavec se uvede pouze v případě, že auditor poskytl Společnosti nebo podnikům, které Společnost ovládá, služby (kromě povinného auditu), které nejsou uvedeny v příloze účetní závěrky nebo ve výroční zprávě Společnosti.</w:t>
      </w:r>
    </w:p>
  </w:footnote>
  <w:footnote w:id="17">
    <w:p w14:paraId="0619F323" w14:textId="4A0F0338" w:rsidR="007B6F5D" w:rsidRDefault="007B6F5D" w:rsidP="00B836AD">
      <w:pPr>
        <w:pStyle w:val="Textpoznpodarou"/>
        <w:jc w:val="both"/>
      </w:pPr>
      <w:r w:rsidRPr="00B836AD">
        <w:rPr>
          <w:rStyle w:val="Znakapoznpodarou"/>
          <w:sz w:val="18"/>
          <w:szCs w:val="18"/>
        </w:rPr>
        <w:footnoteRef/>
      </w:r>
      <w:r w:rsidRPr="00B836AD">
        <w:rPr>
          <w:sz w:val="18"/>
          <w:szCs w:val="18"/>
        </w:rPr>
        <w:t xml:space="preserve"> Toto označení se uvede pouze v</w:t>
      </w:r>
      <w:r w:rsidR="00314B28" w:rsidRPr="00B836AD">
        <w:rPr>
          <w:sz w:val="18"/>
          <w:szCs w:val="18"/>
        </w:rPr>
        <w:t> </w:t>
      </w:r>
      <w:r w:rsidRPr="00B836AD">
        <w:rPr>
          <w:sz w:val="18"/>
          <w:szCs w:val="18"/>
        </w:rPr>
        <w:t>případě</w:t>
      </w:r>
      <w:r w:rsidR="00314B28" w:rsidRPr="00B836AD">
        <w:rPr>
          <w:sz w:val="18"/>
          <w:szCs w:val="18"/>
        </w:rPr>
        <w:t xml:space="preserve"> auditu účetní závěrky k</w:t>
      </w:r>
      <w:r w:rsidR="005B1515" w:rsidRPr="00B836AD">
        <w:rPr>
          <w:sz w:val="18"/>
          <w:szCs w:val="18"/>
        </w:rPr>
        <w:t>o</w:t>
      </w:r>
      <w:r w:rsidR="00314B28" w:rsidRPr="00B836AD">
        <w:rPr>
          <w:sz w:val="18"/>
          <w:szCs w:val="18"/>
        </w:rPr>
        <w:t xml:space="preserve">tované účetní jednotky při využití </w:t>
      </w:r>
      <w:r w:rsidRPr="00B836AD">
        <w:rPr>
          <w:sz w:val="18"/>
          <w:szCs w:val="18"/>
        </w:rPr>
        <w:t xml:space="preserve">volby </w:t>
      </w:r>
      <w:r w:rsidR="00314B28" w:rsidRPr="00B836AD">
        <w:rPr>
          <w:sz w:val="18"/>
          <w:szCs w:val="18"/>
        </w:rPr>
        <w:t>d</w:t>
      </w:r>
      <w:r w:rsidRPr="00B836AD">
        <w:rPr>
          <w:sz w:val="18"/>
          <w:szCs w:val="18"/>
        </w:rPr>
        <w:t>le odst. A</w:t>
      </w:r>
      <w:r w:rsidR="005C49DD" w:rsidRPr="00B836AD">
        <w:rPr>
          <w:sz w:val="18"/>
          <w:szCs w:val="18"/>
        </w:rPr>
        <w:t>62</w:t>
      </w:r>
      <w:r w:rsidRPr="00B836AD">
        <w:rPr>
          <w:sz w:val="18"/>
          <w:szCs w:val="18"/>
        </w:rPr>
        <w:t>.1.</w:t>
      </w:r>
      <w:r w:rsidR="00314B28" w:rsidRPr="00B836AD">
        <w:rPr>
          <w:sz w:val="18"/>
          <w:szCs w:val="18"/>
        </w:rPr>
        <w:t xml:space="preserve"> ISA 700 ve znění související aplikační doložky.</w:t>
      </w:r>
      <w:r w:rsidRPr="00B836AD">
        <w:rPr>
          <w:sz w:val="18"/>
          <w:szCs w:val="18"/>
        </w:rPr>
        <w:t xml:space="preserve"> Odpovědnost statutárního auditora odpovědného za audit v případě auditu provedeného auditorskou společností lze uvést i v textu zprávy jako v příkladech 1 až 4</w:t>
      </w:r>
      <w:r w:rsidR="00314B28" w:rsidRPr="00B836AD">
        <w:rPr>
          <w:sz w:val="18"/>
          <w:szCs w:val="18"/>
        </w:rPr>
        <w:t xml:space="preserve"> uvedených v ISA 700</w:t>
      </w:r>
      <w:r w:rsidRPr="00B836A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F38"/>
    <w:multiLevelType w:val="hybridMultilevel"/>
    <w:tmpl w:val="68388F0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91B05E1"/>
    <w:multiLevelType w:val="multilevel"/>
    <w:tmpl w:val="213C74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25D60"/>
    <w:multiLevelType w:val="hybridMultilevel"/>
    <w:tmpl w:val="E926FF42"/>
    <w:lvl w:ilvl="0" w:tplc="B480FE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A240A"/>
    <w:multiLevelType w:val="hybridMultilevel"/>
    <w:tmpl w:val="ADD8B07A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FD1E6D"/>
    <w:multiLevelType w:val="hybridMultilevel"/>
    <w:tmpl w:val="5AB2FA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FD06EB"/>
    <w:multiLevelType w:val="hybridMultilevel"/>
    <w:tmpl w:val="24E8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C04F56"/>
    <w:multiLevelType w:val="hybridMultilevel"/>
    <w:tmpl w:val="9DA41606"/>
    <w:lvl w:ilvl="0" w:tplc="97FE646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A4146D6"/>
    <w:multiLevelType w:val="multilevel"/>
    <w:tmpl w:val="ABF0A6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2D33"/>
    <w:multiLevelType w:val="multilevel"/>
    <w:tmpl w:val="130619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D6E05FC"/>
    <w:multiLevelType w:val="hybridMultilevel"/>
    <w:tmpl w:val="704693DC"/>
    <w:lvl w:ilvl="0" w:tplc="00DA07E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F993328"/>
    <w:multiLevelType w:val="hybridMultilevel"/>
    <w:tmpl w:val="95A09F66"/>
    <w:lvl w:ilvl="0" w:tplc="0809000F">
      <w:start w:val="1"/>
      <w:numFmt w:val="decimal"/>
      <w:lvlText w:val="%1."/>
      <w:lvlJc w:val="left"/>
      <w:pPr>
        <w:ind w:left="2130" w:hanging="360"/>
      </w:pPr>
    </w:lvl>
    <w:lvl w:ilvl="1" w:tplc="08090019" w:tentative="1">
      <w:start w:val="1"/>
      <w:numFmt w:val="lowerLetter"/>
      <w:lvlText w:val="%2."/>
      <w:lvlJc w:val="left"/>
      <w:pPr>
        <w:ind w:left="2850" w:hanging="360"/>
      </w:pPr>
    </w:lvl>
    <w:lvl w:ilvl="2" w:tplc="0809001B" w:tentative="1">
      <w:start w:val="1"/>
      <w:numFmt w:val="lowerRoman"/>
      <w:lvlText w:val="%3."/>
      <w:lvlJc w:val="right"/>
      <w:pPr>
        <w:ind w:left="3570" w:hanging="180"/>
      </w:pPr>
    </w:lvl>
    <w:lvl w:ilvl="3" w:tplc="0809000F" w:tentative="1">
      <w:start w:val="1"/>
      <w:numFmt w:val="decimal"/>
      <w:lvlText w:val="%4."/>
      <w:lvlJc w:val="left"/>
      <w:pPr>
        <w:ind w:left="4290" w:hanging="360"/>
      </w:pPr>
    </w:lvl>
    <w:lvl w:ilvl="4" w:tplc="08090019" w:tentative="1">
      <w:start w:val="1"/>
      <w:numFmt w:val="lowerLetter"/>
      <w:lvlText w:val="%5."/>
      <w:lvlJc w:val="left"/>
      <w:pPr>
        <w:ind w:left="5010" w:hanging="360"/>
      </w:pPr>
    </w:lvl>
    <w:lvl w:ilvl="5" w:tplc="0809001B" w:tentative="1">
      <w:start w:val="1"/>
      <w:numFmt w:val="lowerRoman"/>
      <w:lvlText w:val="%6."/>
      <w:lvlJc w:val="right"/>
      <w:pPr>
        <w:ind w:left="5730" w:hanging="180"/>
      </w:pPr>
    </w:lvl>
    <w:lvl w:ilvl="6" w:tplc="0809000F" w:tentative="1">
      <w:start w:val="1"/>
      <w:numFmt w:val="decimal"/>
      <w:lvlText w:val="%7."/>
      <w:lvlJc w:val="left"/>
      <w:pPr>
        <w:ind w:left="6450" w:hanging="360"/>
      </w:pPr>
    </w:lvl>
    <w:lvl w:ilvl="7" w:tplc="08090019" w:tentative="1">
      <w:start w:val="1"/>
      <w:numFmt w:val="lowerLetter"/>
      <w:lvlText w:val="%8."/>
      <w:lvlJc w:val="left"/>
      <w:pPr>
        <w:ind w:left="7170" w:hanging="360"/>
      </w:pPr>
    </w:lvl>
    <w:lvl w:ilvl="8" w:tplc="08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312051ED"/>
    <w:multiLevelType w:val="hybridMultilevel"/>
    <w:tmpl w:val="77A8D682"/>
    <w:lvl w:ilvl="0" w:tplc="B480FEF4">
      <w:start w:val="1"/>
      <w:numFmt w:val="lowerLetter"/>
      <w:lvlText w:val="%1)"/>
      <w:lvlJc w:val="left"/>
      <w:pPr>
        <w:ind w:left="3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0" w:hanging="360"/>
      </w:pPr>
    </w:lvl>
    <w:lvl w:ilvl="2" w:tplc="0809001B" w:tentative="1">
      <w:start w:val="1"/>
      <w:numFmt w:val="lowerRoman"/>
      <w:lvlText w:val="%3."/>
      <w:lvlJc w:val="right"/>
      <w:pPr>
        <w:ind w:left="3570" w:hanging="180"/>
      </w:pPr>
    </w:lvl>
    <w:lvl w:ilvl="3" w:tplc="0809000F" w:tentative="1">
      <w:start w:val="1"/>
      <w:numFmt w:val="decimal"/>
      <w:lvlText w:val="%4."/>
      <w:lvlJc w:val="left"/>
      <w:pPr>
        <w:ind w:left="4290" w:hanging="360"/>
      </w:pPr>
    </w:lvl>
    <w:lvl w:ilvl="4" w:tplc="08090019" w:tentative="1">
      <w:start w:val="1"/>
      <w:numFmt w:val="lowerLetter"/>
      <w:lvlText w:val="%5."/>
      <w:lvlJc w:val="left"/>
      <w:pPr>
        <w:ind w:left="5010" w:hanging="360"/>
      </w:pPr>
    </w:lvl>
    <w:lvl w:ilvl="5" w:tplc="0809001B" w:tentative="1">
      <w:start w:val="1"/>
      <w:numFmt w:val="lowerRoman"/>
      <w:lvlText w:val="%6."/>
      <w:lvlJc w:val="right"/>
      <w:pPr>
        <w:ind w:left="5730" w:hanging="180"/>
      </w:pPr>
    </w:lvl>
    <w:lvl w:ilvl="6" w:tplc="0809000F" w:tentative="1">
      <w:start w:val="1"/>
      <w:numFmt w:val="decimal"/>
      <w:lvlText w:val="%7."/>
      <w:lvlJc w:val="left"/>
      <w:pPr>
        <w:ind w:left="6450" w:hanging="360"/>
      </w:pPr>
    </w:lvl>
    <w:lvl w:ilvl="7" w:tplc="08090019" w:tentative="1">
      <w:start w:val="1"/>
      <w:numFmt w:val="lowerLetter"/>
      <w:lvlText w:val="%8."/>
      <w:lvlJc w:val="left"/>
      <w:pPr>
        <w:ind w:left="7170" w:hanging="360"/>
      </w:pPr>
    </w:lvl>
    <w:lvl w:ilvl="8" w:tplc="08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3B1C5490"/>
    <w:multiLevelType w:val="hybridMultilevel"/>
    <w:tmpl w:val="0532C0DE"/>
    <w:lvl w:ilvl="0" w:tplc="B0ECE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E381FE9"/>
    <w:multiLevelType w:val="hybridMultilevel"/>
    <w:tmpl w:val="ABF0A6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649D"/>
    <w:multiLevelType w:val="multilevel"/>
    <w:tmpl w:val="9DA4160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2737515"/>
    <w:multiLevelType w:val="hybridMultilevel"/>
    <w:tmpl w:val="9062A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21B21"/>
    <w:multiLevelType w:val="hybridMultilevel"/>
    <w:tmpl w:val="944E18D2"/>
    <w:lvl w:ilvl="0" w:tplc="B480FE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AB66890"/>
    <w:multiLevelType w:val="hybridMultilevel"/>
    <w:tmpl w:val="F5B00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6741"/>
    <w:multiLevelType w:val="hybridMultilevel"/>
    <w:tmpl w:val="0ABAF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B3C77"/>
    <w:multiLevelType w:val="hybridMultilevel"/>
    <w:tmpl w:val="E7A07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DE3B71"/>
    <w:multiLevelType w:val="hybridMultilevel"/>
    <w:tmpl w:val="FC5012E2"/>
    <w:lvl w:ilvl="0" w:tplc="B480F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4CFD"/>
    <w:multiLevelType w:val="hybridMultilevel"/>
    <w:tmpl w:val="9F9A7F64"/>
    <w:lvl w:ilvl="0" w:tplc="25E07B14">
      <w:start w:val="1"/>
      <w:numFmt w:val="bullet"/>
      <w:lvlText w:val=""/>
      <w:lvlJc w:val="left"/>
      <w:pPr>
        <w:tabs>
          <w:tab w:val="num" w:pos="1102"/>
        </w:tabs>
        <w:ind w:left="1102" w:hanging="397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AFD697E"/>
    <w:multiLevelType w:val="multilevel"/>
    <w:tmpl w:val="704693DC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E8B5429"/>
    <w:multiLevelType w:val="hybridMultilevel"/>
    <w:tmpl w:val="CA8288CA"/>
    <w:lvl w:ilvl="0" w:tplc="300239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06B05"/>
    <w:multiLevelType w:val="hybridMultilevel"/>
    <w:tmpl w:val="EBF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A2AE1"/>
    <w:multiLevelType w:val="hybridMultilevel"/>
    <w:tmpl w:val="5F082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C376D"/>
    <w:multiLevelType w:val="hybridMultilevel"/>
    <w:tmpl w:val="FC5012E2"/>
    <w:lvl w:ilvl="0" w:tplc="B480F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62444"/>
    <w:multiLevelType w:val="hybridMultilevel"/>
    <w:tmpl w:val="9314F782"/>
    <w:lvl w:ilvl="0" w:tplc="5BEA929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D3399"/>
    <w:multiLevelType w:val="hybridMultilevel"/>
    <w:tmpl w:val="77F457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777546"/>
    <w:multiLevelType w:val="hybridMultilevel"/>
    <w:tmpl w:val="AF2E139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C841CAA"/>
    <w:multiLevelType w:val="hybridMultilevel"/>
    <w:tmpl w:val="FC5012E2"/>
    <w:lvl w:ilvl="0" w:tplc="B480F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7"/>
  </w:num>
  <w:num w:numId="6">
    <w:abstractNumId w:val="13"/>
  </w:num>
  <w:num w:numId="7">
    <w:abstractNumId w:val="7"/>
  </w:num>
  <w:num w:numId="8">
    <w:abstractNumId w:val="4"/>
  </w:num>
  <w:num w:numId="9">
    <w:abstractNumId w:val="1"/>
  </w:num>
  <w:num w:numId="10">
    <w:abstractNumId w:val="24"/>
  </w:num>
  <w:num w:numId="11">
    <w:abstractNumId w:val="12"/>
  </w:num>
  <w:num w:numId="12">
    <w:abstractNumId w:val="14"/>
  </w:num>
  <w:num w:numId="13">
    <w:abstractNumId w:val="9"/>
  </w:num>
  <w:num w:numId="14">
    <w:abstractNumId w:val="23"/>
  </w:num>
  <w:num w:numId="15">
    <w:abstractNumId w:val="22"/>
  </w:num>
  <w:num w:numId="16">
    <w:abstractNumId w:val="10"/>
  </w:num>
  <w:num w:numId="17">
    <w:abstractNumId w:val="16"/>
  </w:num>
  <w:num w:numId="18">
    <w:abstractNumId w:val="11"/>
  </w:num>
  <w:num w:numId="19">
    <w:abstractNumId w:val="20"/>
  </w:num>
  <w:num w:numId="20">
    <w:abstractNumId w:val="1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"/>
  </w:num>
  <w:num w:numId="24">
    <w:abstractNumId w:val="26"/>
  </w:num>
  <w:num w:numId="25">
    <w:abstractNumId w:val="19"/>
  </w:num>
  <w:num w:numId="26">
    <w:abstractNumId w:val="31"/>
  </w:num>
  <w:num w:numId="27">
    <w:abstractNumId w:val="27"/>
  </w:num>
  <w:num w:numId="28">
    <w:abstractNumId w:val="5"/>
  </w:num>
  <w:num w:numId="29">
    <w:abstractNumId w:val="25"/>
  </w:num>
  <w:num w:numId="30">
    <w:abstractNumId w:val="28"/>
  </w:num>
  <w:num w:numId="31">
    <w:abstractNumId w:val="21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F9"/>
    <w:rsid w:val="000013A6"/>
    <w:rsid w:val="0000213C"/>
    <w:rsid w:val="0000484D"/>
    <w:rsid w:val="00006B3B"/>
    <w:rsid w:val="00011181"/>
    <w:rsid w:val="0001329F"/>
    <w:rsid w:val="00014EDA"/>
    <w:rsid w:val="000154C7"/>
    <w:rsid w:val="00015E63"/>
    <w:rsid w:val="00023844"/>
    <w:rsid w:val="00026B21"/>
    <w:rsid w:val="00030168"/>
    <w:rsid w:val="00033B54"/>
    <w:rsid w:val="00040CDE"/>
    <w:rsid w:val="0004180F"/>
    <w:rsid w:val="00042275"/>
    <w:rsid w:val="000438B7"/>
    <w:rsid w:val="00053F74"/>
    <w:rsid w:val="00054265"/>
    <w:rsid w:val="000552F8"/>
    <w:rsid w:val="00056F4E"/>
    <w:rsid w:val="0006022F"/>
    <w:rsid w:val="0006351E"/>
    <w:rsid w:val="000635B3"/>
    <w:rsid w:val="000635DE"/>
    <w:rsid w:val="00064197"/>
    <w:rsid w:val="000728F2"/>
    <w:rsid w:val="00074FC6"/>
    <w:rsid w:val="000821D0"/>
    <w:rsid w:val="000959C9"/>
    <w:rsid w:val="0009623B"/>
    <w:rsid w:val="00096CA4"/>
    <w:rsid w:val="000A1E4B"/>
    <w:rsid w:val="000A428B"/>
    <w:rsid w:val="000A4EDF"/>
    <w:rsid w:val="000A5619"/>
    <w:rsid w:val="000A6B4F"/>
    <w:rsid w:val="000B1493"/>
    <w:rsid w:val="000B1EF9"/>
    <w:rsid w:val="000B2E76"/>
    <w:rsid w:val="000B6D15"/>
    <w:rsid w:val="000C0E34"/>
    <w:rsid w:val="000C0F6C"/>
    <w:rsid w:val="000C36F1"/>
    <w:rsid w:val="000C3F3B"/>
    <w:rsid w:val="000C6A67"/>
    <w:rsid w:val="000D0F31"/>
    <w:rsid w:val="000D261C"/>
    <w:rsid w:val="000D3E02"/>
    <w:rsid w:val="000D576B"/>
    <w:rsid w:val="000D66CB"/>
    <w:rsid w:val="000D6D40"/>
    <w:rsid w:val="000E30FC"/>
    <w:rsid w:val="000E3773"/>
    <w:rsid w:val="000E5FB8"/>
    <w:rsid w:val="000F3041"/>
    <w:rsid w:val="000F766A"/>
    <w:rsid w:val="00106BBF"/>
    <w:rsid w:val="00110553"/>
    <w:rsid w:val="00112C75"/>
    <w:rsid w:val="0011392D"/>
    <w:rsid w:val="001154A6"/>
    <w:rsid w:val="00115D73"/>
    <w:rsid w:val="00122023"/>
    <w:rsid w:val="001272BA"/>
    <w:rsid w:val="00130D6B"/>
    <w:rsid w:val="00131A7E"/>
    <w:rsid w:val="00135309"/>
    <w:rsid w:val="001420A4"/>
    <w:rsid w:val="00143FAA"/>
    <w:rsid w:val="00144844"/>
    <w:rsid w:val="0015452F"/>
    <w:rsid w:val="001641C9"/>
    <w:rsid w:val="00167A7B"/>
    <w:rsid w:val="00181F3B"/>
    <w:rsid w:val="00184ACD"/>
    <w:rsid w:val="001908A0"/>
    <w:rsid w:val="00193751"/>
    <w:rsid w:val="00193970"/>
    <w:rsid w:val="00195C14"/>
    <w:rsid w:val="00196CE1"/>
    <w:rsid w:val="001A35CC"/>
    <w:rsid w:val="001A5335"/>
    <w:rsid w:val="001A5D5D"/>
    <w:rsid w:val="001B47DB"/>
    <w:rsid w:val="001C060C"/>
    <w:rsid w:val="001C5505"/>
    <w:rsid w:val="001D1BC8"/>
    <w:rsid w:val="001D4924"/>
    <w:rsid w:val="001D4BE6"/>
    <w:rsid w:val="001D5370"/>
    <w:rsid w:val="001E14C2"/>
    <w:rsid w:val="001E474F"/>
    <w:rsid w:val="001E52C6"/>
    <w:rsid w:val="001E7D86"/>
    <w:rsid w:val="001F1B47"/>
    <w:rsid w:val="001F2DA1"/>
    <w:rsid w:val="002028B2"/>
    <w:rsid w:val="00205C08"/>
    <w:rsid w:val="00214EF9"/>
    <w:rsid w:val="00217F6A"/>
    <w:rsid w:val="00232D5C"/>
    <w:rsid w:val="00233F45"/>
    <w:rsid w:val="00234BB2"/>
    <w:rsid w:val="00236B70"/>
    <w:rsid w:val="0025365B"/>
    <w:rsid w:val="002547E5"/>
    <w:rsid w:val="002549D6"/>
    <w:rsid w:val="00256118"/>
    <w:rsid w:val="00256581"/>
    <w:rsid w:val="00257A11"/>
    <w:rsid w:val="00263DD5"/>
    <w:rsid w:val="00266211"/>
    <w:rsid w:val="00270552"/>
    <w:rsid w:val="00275E55"/>
    <w:rsid w:val="00292063"/>
    <w:rsid w:val="002963E9"/>
    <w:rsid w:val="002A1C87"/>
    <w:rsid w:val="002A2685"/>
    <w:rsid w:val="002A6FD7"/>
    <w:rsid w:val="002B26DF"/>
    <w:rsid w:val="002B7A9F"/>
    <w:rsid w:val="002C7ED1"/>
    <w:rsid w:val="002D023F"/>
    <w:rsid w:val="002E0B48"/>
    <w:rsid w:val="002E2CEE"/>
    <w:rsid w:val="002E3A1D"/>
    <w:rsid w:val="002E7A9D"/>
    <w:rsid w:val="002F0D23"/>
    <w:rsid w:val="002F196D"/>
    <w:rsid w:val="002F5130"/>
    <w:rsid w:val="00300E89"/>
    <w:rsid w:val="00303900"/>
    <w:rsid w:val="00303D3C"/>
    <w:rsid w:val="0030428D"/>
    <w:rsid w:val="00305827"/>
    <w:rsid w:val="00306B6E"/>
    <w:rsid w:val="00306F30"/>
    <w:rsid w:val="003073BF"/>
    <w:rsid w:val="00313466"/>
    <w:rsid w:val="00314B28"/>
    <w:rsid w:val="00315B3B"/>
    <w:rsid w:val="00324367"/>
    <w:rsid w:val="003252D6"/>
    <w:rsid w:val="003315CC"/>
    <w:rsid w:val="00331845"/>
    <w:rsid w:val="00337602"/>
    <w:rsid w:val="00337B9D"/>
    <w:rsid w:val="0034547A"/>
    <w:rsid w:val="003564D3"/>
    <w:rsid w:val="003566A5"/>
    <w:rsid w:val="00361467"/>
    <w:rsid w:val="0036285D"/>
    <w:rsid w:val="0037067B"/>
    <w:rsid w:val="00370BA5"/>
    <w:rsid w:val="003711E4"/>
    <w:rsid w:val="00372E85"/>
    <w:rsid w:val="003805CD"/>
    <w:rsid w:val="00380B1C"/>
    <w:rsid w:val="003823F2"/>
    <w:rsid w:val="00385733"/>
    <w:rsid w:val="00390F23"/>
    <w:rsid w:val="00392EF8"/>
    <w:rsid w:val="00393766"/>
    <w:rsid w:val="003944B3"/>
    <w:rsid w:val="00394760"/>
    <w:rsid w:val="00394BE3"/>
    <w:rsid w:val="00397324"/>
    <w:rsid w:val="003A494D"/>
    <w:rsid w:val="003B7B57"/>
    <w:rsid w:val="003C0CA3"/>
    <w:rsid w:val="003C191C"/>
    <w:rsid w:val="003D0935"/>
    <w:rsid w:val="003D325F"/>
    <w:rsid w:val="003D4551"/>
    <w:rsid w:val="003E2EF6"/>
    <w:rsid w:val="003F46B1"/>
    <w:rsid w:val="003F4D1E"/>
    <w:rsid w:val="003F7915"/>
    <w:rsid w:val="004021A9"/>
    <w:rsid w:val="00402550"/>
    <w:rsid w:val="0040459E"/>
    <w:rsid w:val="0040669A"/>
    <w:rsid w:val="004071C1"/>
    <w:rsid w:val="0041078B"/>
    <w:rsid w:val="0041361C"/>
    <w:rsid w:val="00422D0B"/>
    <w:rsid w:val="00425A8B"/>
    <w:rsid w:val="004347CB"/>
    <w:rsid w:val="0043554F"/>
    <w:rsid w:val="00435D73"/>
    <w:rsid w:val="00436B50"/>
    <w:rsid w:val="00437972"/>
    <w:rsid w:val="00442C99"/>
    <w:rsid w:val="004464E2"/>
    <w:rsid w:val="00447BCE"/>
    <w:rsid w:val="00452674"/>
    <w:rsid w:val="00460BF2"/>
    <w:rsid w:val="00461904"/>
    <w:rsid w:val="00463C59"/>
    <w:rsid w:val="00464E7C"/>
    <w:rsid w:val="00465EE1"/>
    <w:rsid w:val="004701B9"/>
    <w:rsid w:val="004743A3"/>
    <w:rsid w:val="004746F6"/>
    <w:rsid w:val="00477041"/>
    <w:rsid w:val="00484690"/>
    <w:rsid w:val="00485C74"/>
    <w:rsid w:val="00491366"/>
    <w:rsid w:val="0049286C"/>
    <w:rsid w:val="0049383B"/>
    <w:rsid w:val="00495730"/>
    <w:rsid w:val="004A55C1"/>
    <w:rsid w:val="004B311A"/>
    <w:rsid w:val="004B552A"/>
    <w:rsid w:val="004B67C0"/>
    <w:rsid w:val="004C56DA"/>
    <w:rsid w:val="004D18E5"/>
    <w:rsid w:val="004D2C9F"/>
    <w:rsid w:val="004D5366"/>
    <w:rsid w:val="004D5CA1"/>
    <w:rsid w:val="004E0331"/>
    <w:rsid w:val="004E6935"/>
    <w:rsid w:val="004E758F"/>
    <w:rsid w:val="004F0069"/>
    <w:rsid w:val="004F1546"/>
    <w:rsid w:val="004F2580"/>
    <w:rsid w:val="004F264E"/>
    <w:rsid w:val="00500402"/>
    <w:rsid w:val="00501487"/>
    <w:rsid w:val="005055F3"/>
    <w:rsid w:val="00513AB8"/>
    <w:rsid w:val="00513BCB"/>
    <w:rsid w:val="00513FB7"/>
    <w:rsid w:val="005159D8"/>
    <w:rsid w:val="00517581"/>
    <w:rsid w:val="005222BF"/>
    <w:rsid w:val="005239F9"/>
    <w:rsid w:val="0052467E"/>
    <w:rsid w:val="005249B3"/>
    <w:rsid w:val="00524A09"/>
    <w:rsid w:val="0052514B"/>
    <w:rsid w:val="005275B8"/>
    <w:rsid w:val="005311D4"/>
    <w:rsid w:val="00532C2C"/>
    <w:rsid w:val="00534A65"/>
    <w:rsid w:val="0053574A"/>
    <w:rsid w:val="00535CE3"/>
    <w:rsid w:val="00541812"/>
    <w:rsid w:val="00542236"/>
    <w:rsid w:val="00544218"/>
    <w:rsid w:val="00544986"/>
    <w:rsid w:val="00545AD3"/>
    <w:rsid w:val="00547337"/>
    <w:rsid w:val="00552310"/>
    <w:rsid w:val="0055452F"/>
    <w:rsid w:val="0055462A"/>
    <w:rsid w:val="005562AF"/>
    <w:rsid w:val="00563939"/>
    <w:rsid w:val="00563C4D"/>
    <w:rsid w:val="00570ADC"/>
    <w:rsid w:val="005736D3"/>
    <w:rsid w:val="00575433"/>
    <w:rsid w:val="00577483"/>
    <w:rsid w:val="00584912"/>
    <w:rsid w:val="00584E57"/>
    <w:rsid w:val="0059268A"/>
    <w:rsid w:val="00593B6F"/>
    <w:rsid w:val="005A0AA0"/>
    <w:rsid w:val="005B045D"/>
    <w:rsid w:val="005B1515"/>
    <w:rsid w:val="005B571E"/>
    <w:rsid w:val="005C053C"/>
    <w:rsid w:val="005C18C1"/>
    <w:rsid w:val="005C1FD9"/>
    <w:rsid w:val="005C2834"/>
    <w:rsid w:val="005C49DD"/>
    <w:rsid w:val="005C5029"/>
    <w:rsid w:val="005D28B3"/>
    <w:rsid w:val="005D336A"/>
    <w:rsid w:val="005D3A35"/>
    <w:rsid w:val="005E6596"/>
    <w:rsid w:val="005F58F0"/>
    <w:rsid w:val="006002F9"/>
    <w:rsid w:val="0060049D"/>
    <w:rsid w:val="00601C1A"/>
    <w:rsid w:val="00605AAD"/>
    <w:rsid w:val="00607736"/>
    <w:rsid w:val="00610874"/>
    <w:rsid w:val="00610991"/>
    <w:rsid w:val="00611D85"/>
    <w:rsid w:val="00617522"/>
    <w:rsid w:val="00621519"/>
    <w:rsid w:val="006252F0"/>
    <w:rsid w:val="006259DE"/>
    <w:rsid w:val="00627079"/>
    <w:rsid w:val="006300DF"/>
    <w:rsid w:val="0063241A"/>
    <w:rsid w:val="00636070"/>
    <w:rsid w:val="00636659"/>
    <w:rsid w:val="00644DA5"/>
    <w:rsid w:val="00645070"/>
    <w:rsid w:val="006467FC"/>
    <w:rsid w:val="0064724E"/>
    <w:rsid w:val="00654D97"/>
    <w:rsid w:val="006557EF"/>
    <w:rsid w:val="00657762"/>
    <w:rsid w:val="00657BD7"/>
    <w:rsid w:val="00661B03"/>
    <w:rsid w:val="00671291"/>
    <w:rsid w:val="0067178F"/>
    <w:rsid w:val="00677AA2"/>
    <w:rsid w:val="00682741"/>
    <w:rsid w:val="00684990"/>
    <w:rsid w:val="00684B2E"/>
    <w:rsid w:val="00685EE4"/>
    <w:rsid w:val="006878A5"/>
    <w:rsid w:val="00696086"/>
    <w:rsid w:val="00696246"/>
    <w:rsid w:val="006A0E44"/>
    <w:rsid w:val="006A1329"/>
    <w:rsid w:val="006A349D"/>
    <w:rsid w:val="006B0102"/>
    <w:rsid w:val="006B1147"/>
    <w:rsid w:val="006B1C1A"/>
    <w:rsid w:val="006B601E"/>
    <w:rsid w:val="006B6A08"/>
    <w:rsid w:val="006C5277"/>
    <w:rsid w:val="006C5ECE"/>
    <w:rsid w:val="006C63D9"/>
    <w:rsid w:val="006D19F1"/>
    <w:rsid w:val="006D3C37"/>
    <w:rsid w:val="006D43AC"/>
    <w:rsid w:val="006D46D8"/>
    <w:rsid w:val="006E1EFF"/>
    <w:rsid w:val="006E4FB9"/>
    <w:rsid w:val="006F0B3C"/>
    <w:rsid w:val="006F64ED"/>
    <w:rsid w:val="0071228E"/>
    <w:rsid w:val="00713060"/>
    <w:rsid w:val="00733282"/>
    <w:rsid w:val="007369C5"/>
    <w:rsid w:val="007435B7"/>
    <w:rsid w:val="007477C9"/>
    <w:rsid w:val="007518EB"/>
    <w:rsid w:val="00753C3F"/>
    <w:rsid w:val="00755CB2"/>
    <w:rsid w:val="007561FB"/>
    <w:rsid w:val="00757A8A"/>
    <w:rsid w:val="00763FD1"/>
    <w:rsid w:val="007675E0"/>
    <w:rsid w:val="007676C5"/>
    <w:rsid w:val="0077241E"/>
    <w:rsid w:val="007726A7"/>
    <w:rsid w:val="00773C2D"/>
    <w:rsid w:val="007758A5"/>
    <w:rsid w:val="00776AC0"/>
    <w:rsid w:val="00780029"/>
    <w:rsid w:val="00780D60"/>
    <w:rsid w:val="00785FB6"/>
    <w:rsid w:val="0079041B"/>
    <w:rsid w:val="00794DF3"/>
    <w:rsid w:val="007A38AF"/>
    <w:rsid w:val="007A6E4A"/>
    <w:rsid w:val="007B6F5D"/>
    <w:rsid w:val="007B7C66"/>
    <w:rsid w:val="007C1C96"/>
    <w:rsid w:val="007C38FA"/>
    <w:rsid w:val="007C4539"/>
    <w:rsid w:val="007C575A"/>
    <w:rsid w:val="007D045F"/>
    <w:rsid w:val="007D1180"/>
    <w:rsid w:val="007D503F"/>
    <w:rsid w:val="007E128C"/>
    <w:rsid w:val="007E70C9"/>
    <w:rsid w:val="007F2F08"/>
    <w:rsid w:val="008004BD"/>
    <w:rsid w:val="00801F3E"/>
    <w:rsid w:val="00802E32"/>
    <w:rsid w:val="00804217"/>
    <w:rsid w:val="00805B55"/>
    <w:rsid w:val="00806FC3"/>
    <w:rsid w:val="00812CB4"/>
    <w:rsid w:val="00821502"/>
    <w:rsid w:val="00826872"/>
    <w:rsid w:val="00831ECC"/>
    <w:rsid w:val="0083225D"/>
    <w:rsid w:val="0083240C"/>
    <w:rsid w:val="0083587D"/>
    <w:rsid w:val="00837777"/>
    <w:rsid w:val="00842C3C"/>
    <w:rsid w:val="00846A52"/>
    <w:rsid w:val="00847D12"/>
    <w:rsid w:val="00847DA7"/>
    <w:rsid w:val="008509F6"/>
    <w:rsid w:val="00854F98"/>
    <w:rsid w:val="00855635"/>
    <w:rsid w:val="008561DB"/>
    <w:rsid w:val="0085649D"/>
    <w:rsid w:val="00857FC3"/>
    <w:rsid w:val="008619DC"/>
    <w:rsid w:val="008703D2"/>
    <w:rsid w:val="00872BEE"/>
    <w:rsid w:val="00873F61"/>
    <w:rsid w:val="00874AC5"/>
    <w:rsid w:val="008761AB"/>
    <w:rsid w:val="008764F6"/>
    <w:rsid w:val="00882413"/>
    <w:rsid w:val="00882D4D"/>
    <w:rsid w:val="00895C6D"/>
    <w:rsid w:val="00896C4E"/>
    <w:rsid w:val="00897A63"/>
    <w:rsid w:val="008A717E"/>
    <w:rsid w:val="008B48EC"/>
    <w:rsid w:val="008B5A71"/>
    <w:rsid w:val="008C160A"/>
    <w:rsid w:val="008C432F"/>
    <w:rsid w:val="008C5F1B"/>
    <w:rsid w:val="008C6915"/>
    <w:rsid w:val="008D06EB"/>
    <w:rsid w:val="008D45EE"/>
    <w:rsid w:val="008E0DF4"/>
    <w:rsid w:val="008E3686"/>
    <w:rsid w:val="008E5483"/>
    <w:rsid w:val="008E691A"/>
    <w:rsid w:val="008F038C"/>
    <w:rsid w:val="008F2374"/>
    <w:rsid w:val="008F2B22"/>
    <w:rsid w:val="008F4556"/>
    <w:rsid w:val="008F546D"/>
    <w:rsid w:val="008F78D3"/>
    <w:rsid w:val="00901487"/>
    <w:rsid w:val="00907BCF"/>
    <w:rsid w:val="0091239F"/>
    <w:rsid w:val="0091253B"/>
    <w:rsid w:val="00912F01"/>
    <w:rsid w:val="009176FE"/>
    <w:rsid w:val="00927F34"/>
    <w:rsid w:val="00935600"/>
    <w:rsid w:val="00935ACB"/>
    <w:rsid w:val="0093680C"/>
    <w:rsid w:val="0094125E"/>
    <w:rsid w:val="00941594"/>
    <w:rsid w:val="00945F58"/>
    <w:rsid w:val="0094620D"/>
    <w:rsid w:val="00946955"/>
    <w:rsid w:val="009511BA"/>
    <w:rsid w:val="00951759"/>
    <w:rsid w:val="00954ECC"/>
    <w:rsid w:val="009605CB"/>
    <w:rsid w:val="009723D4"/>
    <w:rsid w:val="00972701"/>
    <w:rsid w:val="00975A57"/>
    <w:rsid w:val="00980AB4"/>
    <w:rsid w:val="009814F9"/>
    <w:rsid w:val="00981785"/>
    <w:rsid w:val="00990CEB"/>
    <w:rsid w:val="0099148B"/>
    <w:rsid w:val="009950EC"/>
    <w:rsid w:val="00997864"/>
    <w:rsid w:val="00997A5A"/>
    <w:rsid w:val="009A00E1"/>
    <w:rsid w:val="009A1136"/>
    <w:rsid w:val="009A1413"/>
    <w:rsid w:val="009A1CD5"/>
    <w:rsid w:val="009B14F4"/>
    <w:rsid w:val="009B32FA"/>
    <w:rsid w:val="009B5EC0"/>
    <w:rsid w:val="009C156D"/>
    <w:rsid w:val="009C1E5B"/>
    <w:rsid w:val="009C2C33"/>
    <w:rsid w:val="009C47AB"/>
    <w:rsid w:val="009C534F"/>
    <w:rsid w:val="009D0B3B"/>
    <w:rsid w:val="009D6E46"/>
    <w:rsid w:val="009E3153"/>
    <w:rsid w:val="009E7DDE"/>
    <w:rsid w:val="009E7E74"/>
    <w:rsid w:val="009F7536"/>
    <w:rsid w:val="00A01972"/>
    <w:rsid w:val="00A06CD2"/>
    <w:rsid w:val="00A131E2"/>
    <w:rsid w:val="00A141EE"/>
    <w:rsid w:val="00A17F56"/>
    <w:rsid w:val="00A2311A"/>
    <w:rsid w:val="00A23848"/>
    <w:rsid w:val="00A24E55"/>
    <w:rsid w:val="00A26A6F"/>
    <w:rsid w:val="00A36566"/>
    <w:rsid w:val="00A3664A"/>
    <w:rsid w:val="00A36FBD"/>
    <w:rsid w:val="00A4002F"/>
    <w:rsid w:val="00A40B9F"/>
    <w:rsid w:val="00A470CD"/>
    <w:rsid w:val="00A5229F"/>
    <w:rsid w:val="00A62394"/>
    <w:rsid w:val="00A64560"/>
    <w:rsid w:val="00A64A62"/>
    <w:rsid w:val="00A6500A"/>
    <w:rsid w:val="00A70B2E"/>
    <w:rsid w:val="00A748D8"/>
    <w:rsid w:val="00A76368"/>
    <w:rsid w:val="00A80532"/>
    <w:rsid w:val="00A81783"/>
    <w:rsid w:val="00A81F94"/>
    <w:rsid w:val="00A861D1"/>
    <w:rsid w:val="00A90C41"/>
    <w:rsid w:val="00A94470"/>
    <w:rsid w:val="00AA0218"/>
    <w:rsid w:val="00AA47E5"/>
    <w:rsid w:val="00AA6A0E"/>
    <w:rsid w:val="00AA6CB9"/>
    <w:rsid w:val="00AB2A93"/>
    <w:rsid w:val="00AC2D0D"/>
    <w:rsid w:val="00AC2EF5"/>
    <w:rsid w:val="00AC351C"/>
    <w:rsid w:val="00AC6454"/>
    <w:rsid w:val="00AD4D7A"/>
    <w:rsid w:val="00AE1979"/>
    <w:rsid w:val="00AE4097"/>
    <w:rsid w:val="00AE4D22"/>
    <w:rsid w:val="00AE4FE5"/>
    <w:rsid w:val="00AE5CA2"/>
    <w:rsid w:val="00AF0988"/>
    <w:rsid w:val="00AF3006"/>
    <w:rsid w:val="00AF45DB"/>
    <w:rsid w:val="00AF48A7"/>
    <w:rsid w:val="00B0086E"/>
    <w:rsid w:val="00B00B63"/>
    <w:rsid w:val="00B021C2"/>
    <w:rsid w:val="00B1067E"/>
    <w:rsid w:val="00B133B9"/>
    <w:rsid w:val="00B21ED3"/>
    <w:rsid w:val="00B239F9"/>
    <w:rsid w:val="00B24008"/>
    <w:rsid w:val="00B278FE"/>
    <w:rsid w:val="00B319C7"/>
    <w:rsid w:val="00B31AC5"/>
    <w:rsid w:val="00B33F94"/>
    <w:rsid w:val="00B35277"/>
    <w:rsid w:val="00B35863"/>
    <w:rsid w:val="00B435BB"/>
    <w:rsid w:val="00B437E9"/>
    <w:rsid w:val="00B4455C"/>
    <w:rsid w:val="00B45B87"/>
    <w:rsid w:val="00B46C5A"/>
    <w:rsid w:val="00B479A9"/>
    <w:rsid w:val="00B5087F"/>
    <w:rsid w:val="00B513DE"/>
    <w:rsid w:val="00B54A04"/>
    <w:rsid w:val="00B550A1"/>
    <w:rsid w:val="00B55D04"/>
    <w:rsid w:val="00B60F08"/>
    <w:rsid w:val="00B6225B"/>
    <w:rsid w:val="00B63344"/>
    <w:rsid w:val="00B739B0"/>
    <w:rsid w:val="00B74E39"/>
    <w:rsid w:val="00B7645A"/>
    <w:rsid w:val="00B7753A"/>
    <w:rsid w:val="00B82EBC"/>
    <w:rsid w:val="00B836AD"/>
    <w:rsid w:val="00B83862"/>
    <w:rsid w:val="00B95ADA"/>
    <w:rsid w:val="00B978B0"/>
    <w:rsid w:val="00BB06E1"/>
    <w:rsid w:val="00BB1EF1"/>
    <w:rsid w:val="00BB6EAE"/>
    <w:rsid w:val="00BB705B"/>
    <w:rsid w:val="00BB775E"/>
    <w:rsid w:val="00BC30E2"/>
    <w:rsid w:val="00BC4143"/>
    <w:rsid w:val="00BC560C"/>
    <w:rsid w:val="00BD3025"/>
    <w:rsid w:val="00BD7272"/>
    <w:rsid w:val="00BE0489"/>
    <w:rsid w:val="00BE2AC7"/>
    <w:rsid w:val="00BE497F"/>
    <w:rsid w:val="00BE5A9A"/>
    <w:rsid w:val="00BE5CD1"/>
    <w:rsid w:val="00BF2FE6"/>
    <w:rsid w:val="00BF34E1"/>
    <w:rsid w:val="00BF353F"/>
    <w:rsid w:val="00BF615C"/>
    <w:rsid w:val="00BF7D4A"/>
    <w:rsid w:val="00C03233"/>
    <w:rsid w:val="00C05FCC"/>
    <w:rsid w:val="00C06901"/>
    <w:rsid w:val="00C1359B"/>
    <w:rsid w:val="00C14A94"/>
    <w:rsid w:val="00C1590D"/>
    <w:rsid w:val="00C15EDC"/>
    <w:rsid w:val="00C20793"/>
    <w:rsid w:val="00C26085"/>
    <w:rsid w:val="00C27F3D"/>
    <w:rsid w:val="00C31493"/>
    <w:rsid w:val="00C34C3D"/>
    <w:rsid w:val="00C35BB5"/>
    <w:rsid w:val="00C40A56"/>
    <w:rsid w:val="00C43A2D"/>
    <w:rsid w:val="00C44F70"/>
    <w:rsid w:val="00C45790"/>
    <w:rsid w:val="00C46BBD"/>
    <w:rsid w:val="00C60C1E"/>
    <w:rsid w:val="00C63492"/>
    <w:rsid w:val="00C64F32"/>
    <w:rsid w:val="00C667AB"/>
    <w:rsid w:val="00C74044"/>
    <w:rsid w:val="00C7594C"/>
    <w:rsid w:val="00C76510"/>
    <w:rsid w:val="00C76D1D"/>
    <w:rsid w:val="00C77145"/>
    <w:rsid w:val="00C87563"/>
    <w:rsid w:val="00C94A2A"/>
    <w:rsid w:val="00C94AA6"/>
    <w:rsid w:val="00CA3FA0"/>
    <w:rsid w:val="00CB141B"/>
    <w:rsid w:val="00CB2DDF"/>
    <w:rsid w:val="00CC0209"/>
    <w:rsid w:val="00CC2D4B"/>
    <w:rsid w:val="00CC37BC"/>
    <w:rsid w:val="00CD2AE5"/>
    <w:rsid w:val="00CD45BA"/>
    <w:rsid w:val="00CD4C84"/>
    <w:rsid w:val="00CD563C"/>
    <w:rsid w:val="00CE1FD2"/>
    <w:rsid w:val="00CE3ECF"/>
    <w:rsid w:val="00CF0B8D"/>
    <w:rsid w:val="00CF4550"/>
    <w:rsid w:val="00CF6BAF"/>
    <w:rsid w:val="00D006FA"/>
    <w:rsid w:val="00D007C7"/>
    <w:rsid w:val="00D00B1C"/>
    <w:rsid w:val="00D0239E"/>
    <w:rsid w:val="00D02E35"/>
    <w:rsid w:val="00D04DF3"/>
    <w:rsid w:val="00D07F57"/>
    <w:rsid w:val="00D129E4"/>
    <w:rsid w:val="00D13801"/>
    <w:rsid w:val="00D161CC"/>
    <w:rsid w:val="00D227E3"/>
    <w:rsid w:val="00D32EA1"/>
    <w:rsid w:val="00D3442C"/>
    <w:rsid w:val="00D41EAA"/>
    <w:rsid w:val="00D42607"/>
    <w:rsid w:val="00D45C87"/>
    <w:rsid w:val="00D468FD"/>
    <w:rsid w:val="00D477A6"/>
    <w:rsid w:val="00D508C3"/>
    <w:rsid w:val="00D513C1"/>
    <w:rsid w:val="00D51494"/>
    <w:rsid w:val="00D525A7"/>
    <w:rsid w:val="00D53263"/>
    <w:rsid w:val="00D55001"/>
    <w:rsid w:val="00D55E8F"/>
    <w:rsid w:val="00D6216E"/>
    <w:rsid w:val="00D77FE9"/>
    <w:rsid w:val="00D81DB3"/>
    <w:rsid w:val="00D8254C"/>
    <w:rsid w:val="00D870DC"/>
    <w:rsid w:val="00D9227B"/>
    <w:rsid w:val="00D931AC"/>
    <w:rsid w:val="00D9799F"/>
    <w:rsid w:val="00DA02E0"/>
    <w:rsid w:val="00DA299F"/>
    <w:rsid w:val="00DA3AB6"/>
    <w:rsid w:val="00DA5594"/>
    <w:rsid w:val="00DB100B"/>
    <w:rsid w:val="00DB4EF3"/>
    <w:rsid w:val="00DB55ED"/>
    <w:rsid w:val="00DC0B44"/>
    <w:rsid w:val="00DD02BC"/>
    <w:rsid w:val="00DD17BF"/>
    <w:rsid w:val="00DE47C9"/>
    <w:rsid w:val="00DF070A"/>
    <w:rsid w:val="00DF15F2"/>
    <w:rsid w:val="00DF1613"/>
    <w:rsid w:val="00DF1DD7"/>
    <w:rsid w:val="00DF4D0B"/>
    <w:rsid w:val="00E00357"/>
    <w:rsid w:val="00E01B52"/>
    <w:rsid w:val="00E04610"/>
    <w:rsid w:val="00E048A1"/>
    <w:rsid w:val="00E06D42"/>
    <w:rsid w:val="00E10D43"/>
    <w:rsid w:val="00E11CDB"/>
    <w:rsid w:val="00E22DE1"/>
    <w:rsid w:val="00E2379A"/>
    <w:rsid w:val="00E30017"/>
    <w:rsid w:val="00E31C05"/>
    <w:rsid w:val="00E4597E"/>
    <w:rsid w:val="00E46C52"/>
    <w:rsid w:val="00E518CE"/>
    <w:rsid w:val="00E53A9F"/>
    <w:rsid w:val="00E53BD5"/>
    <w:rsid w:val="00E554C8"/>
    <w:rsid w:val="00E64AC6"/>
    <w:rsid w:val="00E66D4A"/>
    <w:rsid w:val="00E670C9"/>
    <w:rsid w:val="00E71BAF"/>
    <w:rsid w:val="00E72FFB"/>
    <w:rsid w:val="00E73FE7"/>
    <w:rsid w:val="00E753E7"/>
    <w:rsid w:val="00E75B9E"/>
    <w:rsid w:val="00E85C7A"/>
    <w:rsid w:val="00E86AEB"/>
    <w:rsid w:val="00E93552"/>
    <w:rsid w:val="00E93F24"/>
    <w:rsid w:val="00E96BFA"/>
    <w:rsid w:val="00E97BE1"/>
    <w:rsid w:val="00EA14D8"/>
    <w:rsid w:val="00EA3F39"/>
    <w:rsid w:val="00EB1466"/>
    <w:rsid w:val="00EB4574"/>
    <w:rsid w:val="00EC0296"/>
    <w:rsid w:val="00EC187E"/>
    <w:rsid w:val="00EC28DE"/>
    <w:rsid w:val="00EC2C73"/>
    <w:rsid w:val="00EC5CB4"/>
    <w:rsid w:val="00EC6A00"/>
    <w:rsid w:val="00ED1B61"/>
    <w:rsid w:val="00EE0521"/>
    <w:rsid w:val="00EE1BBD"/>
    <w:rsid w:val="00EE2330"/>
    <w:rsid w:val="00EE36C5"/>
    <w:rsid w:val="00EE3AA2"/>
    <w:rsid w:val="00EE3DCD"/>
    <w:rsid w:val="00EE64D3"/>
    <w:rsid w:val="00EF494A"/>
    <w:rsid w:val="00EF5D8A"/>
    <w:rsid w:val="00EF6119"/>
    <w:rsid w:val="00F009FC"/>
    <w:rsid w:val="00F01FEA"/>
    <w:rsid w:val="00F0482A"/>
    <w:rsid w:val="00F12752"/>
    <w:rsid w:val="00F138C0"/>
    <w:rsid w:val="00F22E8C"/>
    <w:rsid w:val="00F236E8"/>
    <w:rsid w:val="00F2462F"/>
    <w:rsid w:val="00F24D4A"/>
    <w:rsid w:val="00F31394"/>
    <w:rsid w:val="00F327C0"/>
    <w:rsid w:val="00F329F0"/>
    <w:rsid w:val="00F33DC1"/>
    <w:rsid w:val="00F34CEC"/>
    <w:rsid w:val="00F35785"/>
    <w:rsid w:val="00F3591C"/>
    <w:rsid w:val="00F368EF"/>
    <w:rsid w:val="00F431F4"/>
    <w:rsid w:val="00F5000C"/>
    <w:rsid w:val="00F50DAA"/>
    <w:rsid w:val="00F52DF3"/>
    <w:rsid w:val="00F541CA"/>
    <w:rsid w:val="00F5451F"/>
    <w:rsid w:val="00F54A61"/>
    <w:rsid w:val="00F57C67"/>
    <w:rsid w:val="00F62963"/>
    <w:rsid w:val="00F806E9"/>
    <w:rsid w:val="00F82508"/>
    <w:rsid w:val="00F855D5"/>
    <w:rsid w:val="00F86537"/>
    <w:rsid w:val="00F9023F"/>
    <w:rsid w:val="00F91857"/>
    <w:rsid w:val="00F921C9"/>
    <w:rsid w:val="00F937F0"/>
    <w:rsid w:val="00F95995"/>
    <w:rsid w:val="00F95A79"/>
    <w:rsid w:val="00F95C82"/>
    <w:rsid w:val="00FA1AC9"/>
    <w:rsid w:val="00FA3F33"/>
    <w:rsid w:val="00FA7BDD"/>
    <w:rsid w:val="00FB076F"/>
    <w:rsid w:val="00FB51C0"/>
    <w:rsid w:val="00FB7D8F"/>
    <w:rsid w:val="00FC1D99"/>
    <w:rsid w:val="00FC256C"/>
    <w:rsid w:val="00FC3599"/>
    <w:rsid w:val="00FC5834"/>
    <w:rsid w:val="00FC70ED"/>
    <w:rsid w:val="00FD3ED6"/>
    <w:rsid w:val="00FE367A"/>
    <w:rsid w:val="00FE4941"/>
    <w:rsid w:val="00FE794A"/>
    <w:rsid w:val="00FF2CE0"/>
    <w:rsid w:val="00FF45F6"/>
    <w:rsid w:val="00FF6220"/>
    <w:rsid w:val="00FF67FC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E65F7"/>
  <w15:docId w15:val="{3A741383-0244-4FE0-B35B-7CF2F544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351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C19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74AC5"/>
    <w:rPr>
      <w:rFonts w:ascii="Tahoma" w:hAnsi="Tahoma" w:cs="Tahoma"/>
      <w:sz w:val="16"/>
      <w:szCs w:val="16"/>
    </w:rPr>
  </w:style>
  <w:style w:type="paragraph" w:styleId="Zhlav">
    <w:name w:val="header"/>
    <w:aliases w:val="Left Header"/>
    <w:basedOn w:val="Normln"/>
    <w:link w:val="ZhlavChar"/>
    <w:rsid w:val="00EB14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14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466"/>
  </w:style>
  <w:style w:type="character" w:styleId="Odkaznakoment">
    <w:name w:val="annotation reference"/>
    <w:semiHidden/>
    <w:rsid w:val="0041361C"/>
    <w:rPr>
      <w:sz w:val="16"/>
      <w:szCs w:val="16"/>
    </w:rPr>
  </w:style>
  <w:style w:type="paragraph" w:styleId="Textkomente">
    <w:name w:val="annotation text"/>
    <w:basedOn w:val="Normln"/>
    <w:semiHidden/>
    <w:rsid w:val="0041361C"/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4743A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812CB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rsid w:val="00780029"/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rsid w:val="00780029"/>
  </w:style>
  <w:style w:type="character" w:styleId="Znakapoznpodarou">
    <w:name w:val="footnote reference"/>
    <w:rsid w:val="00780029"/>
    <w:rPr>
      <w:vertAlign w:val="superscript"/>
    </w:rPr>
  </w:style>
  <w:style w:type="paragraph" w:customStyle="1" w:styleId="Revize1">
    <w:name w:val="Revize1"/>
    <w:hidden/>
    <w:uiPriority w:val="99"/>
    <w:semiHidden/>
    <w:rsid w:val="00FF6220"/>
    <w:rPr>
      <w:sz w:val="24"/>
      <w:szCs w:val="24"/>
    </w:rPr>
  </w:style>
  <w:style w:type="paragraph" w:customStyle="1" w:styleId="level2">
    <w:name w:val="level 2"/>
    <w:basedOn w:val="Normln"/>
    <w:rsid w:val="003C191C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kern w:val="8"/>
      <w:sz w:val="20"/>
      <w:szCs w:val="20"/>
      <w:lang w:eastAsia="en-US" w:bidi="he-IL"/>
    </w:rPr>
  </w:style>
  <w:style w:type="paragraph" w:customStyle="1" w:styleId="NumberedParagraphCharChar">
    <w:name w:val="Numbered Paragraph Char Char"/>
    <w:basedOn w:val="Normln"/>
    <w:rsid w:val="003C191C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line="280" w:lineRule="exact"/>
      <w:ind w:left="480" w:hanging="480"/>
      <w:jc w:val="both"/>
      <w:textAlignment w:val="baseline"/>
    </w:pPr>
    <w:rPr>
      <w:kern w:val="8"/>
      <w:lang w:eastAsia="en-US" w:bidi="he-IL"/>
    </w:rPr>
  </w:style>
  <w:style w:type="paragraph" w:customStyle="1" w:styleId="Heading32">
    <w:name w:val="Heading 3/2"/>
    <w:basedOn w:val="Nadpis3"/>
    <w:rsid w:val="003C191C"/>
    <w:pPr>
      <w:keepNext w:val="0"/>
      <w:spacing w:before="120" w:after="0" w:line="240" w:lineRule="exact"/>
      <w:ind w:right="360"/>
      <w:jc w:val="both"/>
    </w:pPr>
    <w:rPr>
      <w:rFonts w:ascii="Times New Roman" w:hAnsi="Times New Roman" w:cs="Arial"/>
      <w:sz w:val="20"/>
      <w:szCs w:val="20"/>
      <w:lang w:eastAsia="en-US"/>
    </w:rPr>
  </w:style>
  <w:style w:type="character" w:customStyle="1" w:styleId="Nadpis3Char">
    <w:name w:val="Nadpis 3 Char"/>
    <w:link w:val="Nadpis3"/>
    <w:semiHidden/>
    <w:rsid w:val="003C191C"/>
    <w:rPr>
      <w:rFonts w:ascii="Cambria" w:eastAsia="Times New Roman" w:hAnsi="Cambria" w:cs="Times New Roman"/>
      <w:b/>
      <w:bCs/>
      <w:sz w:val="26"/>
      <w:szCs w:val="26"/>
    </w:rPr>
  </w:style>
  <w:style w:type="paragraph" w:styleId="Pedmtkomente">
    <w:name w:val="annotation subject"/>
    <w:basedOn w:val="Textkomente"/>
    <w:next w:val="Textkomente"/>
    <w:semiHidden/>
    <w:rsid w:val="008D06EB"/>
    <w:rPr>
      <w:b/>
      <w:bCs/>
    </w:rPr>
  </w:style>
  <w:style w:type="character" w:customStyle="1" w:styleId="ZhlavChar">
    <w:name w:val="Záhlaví Char"/>
    <w:aliases w:val="Left Header Char"/>
    <w:link w:val="Zhlav"/>
    <w:rsid w:val="008F2B2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724E"/>
    <w:pPr>
      <w:ind w:left="720"/>
    </w:pPr>
  </w:style>
  <w:style w:type="paragraph" w:styleId="Revize">
    <w:name w:val="Revision"/>
    <w:hidden/>
    <w:uiPriority w:val="99"/>
    <w:semiHidden/>
    <w:rsid w:val="00D513C1"/>
    <w:rPr>
      <w:sz w:val="24"/>
      <w:szCs w:val="24"/>
    </w:rPr>
  </w:style>
  <w:style w:type="character" w:styleId="Hypertextovodkaz">
    <w:name w:val="Hyperlink"/>
    <w:rsid w:val="00324367"/>
    <w:rPr>
      <w:color w:val="0000FF"/>
      <w:u w:val="single"/>
    </w:rPr>
  </w:style>
  <w:style w:type="paragraph" w:customStyle="1" w:styleId="Default">
    <w:name w:val="Default"/>
    <w:rsid w:val="00D07F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cr.cz/file/7445/iaasb-2022-handbook-volume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107A0-C633-4E4E-8E4B-913BCF72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2285</Words>
  <Characters>14561</Characters>
  <Application>Microsoft Office Word</Application>
  <DocSecurity>4</DocSecurity>
  <Lines>121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Aplikační doložka  KA ČR</vt:lpstr>
      <vt:lpstr>Aplikační doložka  KA ČR</vt:lpstr>
    </vt:vector>
  </TitlesOfParts>
  <Company>Komora auditorů ČR</Company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Aplikační doložka  KA ČR</dc:title>
  <dc:creator>Zdenka Drápalová</dc:creator>
  <cp:lastModifiedBy>KACR - Alena Beranova</cp:lastModifiedBy>
  <cp:revision>2</cp:revision>
  <cp:lastPrinted>2016-09-09T05:39:00Z</cp:lastPrinted>
  <dcterms:created xsi:type="dcterms:W3CDTF">2025-12-29T08:06:00Z</dcterms:created>
  <dcterms:modified xsi:type="dcterms:W3CDTF">2025-12-29T08:06:00Z</dcterms:modified>
</cp:coreProperties>
</file>